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42" w:rsidRPr="00161C24" w:rsidRDefault="00EA7942" w:rsidP="00EA7942">
      <w:pPr>
        <w:spacing w:after="120"/>
        <w:jc w:val="center"/>
        <w:rPr>
          <w:rFonts w:ascii="Arial" w:hAnsi="Arial" w:cs="Arial"/>
          <w:b/>
          <w:sz w:val="32"/>
          <w:szCs w:val="32"/>
        </w:rPr>
      </w:pPr>
      <w:bookmarkStart w:id="0" w:name="_GoBack"/>
      <w:bookmarkEnd w:id="0"/>
      <w:r w:rsidRPr="00161C24">
        <w:rPr>
          <w:rFonts w:ascii="Arial" w:hAnsi="Arial" w:cs="Arial"/>
          <w:b/>
          <w:sz w:val="32"/>
          <w:szCs w:val="32"/>
        </w:rPr>
        <w:t>SCAN OF PUBLIC SECTOR PENSION PLANS</w:t>
      </w:r>
    </w:p>
    <w:p w:rsidR="00EA7942" w:rsidRPr="00161C24" w:rsidRDefault="00EA7942" w:rsidP="00EA7942">
      <w:pPr>
        <w:jc w:val="center"/>
        <w:rPr>
          <w:rFonts w:ascii="Arial" w:hAnsi="Arial" w:cs="Arial"/>
          <w:b/>
          <w:sz w:val="32"/>
          <w:szCs w:val="32"/>
        </w:rPr>
      </w:pPr>
      <w:r w:rsidRPr="00161C24">
        <w:rPr>
          <w:rFonts w:ascii="Arial" w:hAnsi="Arial" w:cs="Arial"/>
          <w:b/>
          <w:sz w:val="32"/>
          <w:szCs w:val="32"/>
        </w:rPr>
        <w:t>SUMMARY</w:t>
      </w:r>
    </w:p>
    <w:p w:rsidR="00785444" w:rsidRPr="00CE6670" w:rsidRDefault="0044000C" w:rsidP="00161C24">
      <w:pPr>
        <w:spacing w:before="480"/>
        <w:rPr>
          <w:rFonts w:ascii="Arial" w:hAnsi="Arial" w:cs="Arial"/>
          <w:b/>
          <w:sz w:val="24"/>
          <w:szCs w:val="24"/>
        </w:rPr>
      </w:pPr>
      <w:r w:rsidRPr="00CE6670">
        <w:rPr>
          <w:rFonts w:ascii="Arial" w:hAnsi="Arial" w:cs="Arial"/>
          <w:b/>
          <w:sz w:val="24"/>
          <w:szCs w:val="24"/>
        </w:rPr>
        <w:t>Focus</w:t>
      </w:r>
      <w:r w:rsidR="0072726A" w:rsidRPr="00CE6670">
        <w:rPr>
          <w:rFonts w:ascii="Arial" w:hAnsi="Arial" w:cs="Arial"/>
          <w:b/>
          <w:sz w:val="24"/>
          <w:szCs w:val="24"/>
        </w:rPr>
        <w:t xml:space="preserve"> and Scope</w:t>
      </w:r>
    </w:p>
    <w:p w:rsidR="00906593" w:rsidRPr="00CE6670" w:rsidRDefault="00906593" w:rsidP="00CE6670">
      <w:pPr>
        <w:rPr>
          <w:rFonts w:ascii="Arial" w:hAnsi="Arial" w:cs="Arial"/>
          <w:sz w:val="20"/>
          <w:szCs w:val="20"/>
        </w:rPr>
      </w:pPr>
      <w:r w:rsidRPr="00CE6670">
        <w:rPr>
          <w:rFonts w:ascii="Arial" w:hAnsi="Arial" w:cs="Arial"/>
          <w:sz w:val="20"/>
          <w:szCs w:val="20"/>
        </w:rPr>
        <w:t>The focus of th</w:t>
      </w:r>
      <w:r w:rsidR="00822FA7" w:rsidRPr="00CE6670">
        <w:rPr>
          <w:rFonts w:ascii="Arial" w:hAnsi="Arial" w:cs="Arial"/>
          <w:sz w:val="20"/>
          <w:szCs w:val="20"/>
        </w:rPr>
        <w:t>e</w:t>
      </w:r>
      <w:r w:rsidRPr="00CE6670">
        <w:rPr>
          <w:rFonts w:ascii="Arial" w:hAnsi="Arial" w:cs="Arial"/>
          <w:sz w:val="20"/>
          <w:szCs w:val="20"/>
        </w:rPr>
        <w:t xml:space="preserve"> scan is on workplace registered pension plans (RPPs) in the public sector. The scan includes the federal government and provinces. The primary focus is on public service pension plans, which are usually the largest plans within these jurisdictions and often cover a wide range of public sector employees. Some information is included on other public sector plans, such as teacher plans, but they are not covered in any comprehensive way. </w:t>
      </w:r>
    </w:p>
    <w:p w:rsidR="00587626" w:rsidRPr="00CE6670" w:rsidRDefault="00587626" w:rsidP="00CE6670">
      <w:pPr>
        <w:rPr>
          <w:rFonts w:ascii="Arial" w:hAnsi="Arial" w:cs="Arial"/>
          <w:b/>
          <w:sz w:val="24"/>
          <w:szCs w:val="24"/>
        </w:rPr>
      </w:pPr>
      <w:r w:rsidRPr="00CE6670">
        <w:rPr>
          <w:rFonts w:ascii="Arial" w:hAnsi="Arial" w:cs="Arial"/>
          <w:b/>
          <w:sz w:val="24"/>
          <w:szCs w:val="24"/>
        </w:rPr>
        <w:t>Types of Plans</w:t>
      </w:r>
    </w:p>
    <w:p w:rsidR="005A7CDA" w:rsidRPr="00CE6670" w:rsidRDefault="00027DE6" w:rsidP="00E46176">
      <w:pPr>
        <w:rPr>
          <w:rFonts w:ascii="Arial" w:eastAsia="Times New Roman" w:hAnsi="Arial" w:cs="Arial"/>
          <w:bCs/>
          <w:kern w:val="36"/>
          <w:sz w:val="20"/>
          <w:szCs w:val="20"/>
          <w:lang w:eastAsia="en-CA"/>
        </w:rPr>
      </w:pPr>
      <w:r w:rsidRPr="00CE6670">
        <w:rPr>
          <w:rFonts w:ascii="Arial" w:eastAsia="Times New Roman" w:hAnsi="Arial" w:cs="Arial"/>
          <w:bCs/>
          <w:kern w:val="36"/>
          <w:sz w:val="20"/>
          <w:szCs w:val="20"/>
          <w:lang w:eastAsia="en-CA"/>
        </w:rPr>
        <w:t xml:space="preserve">The two most common types of Registered Pension Plans are the Defined Benefit (DB) Plan and the Defined Contribution (DC) Plan. </w:t>
      </w:r>
      <w:r w:rsidR="005A7CDA" w:rsidRPr="00CE6670">
        <w:rPr>
          <w:rFonts w:ascii="Arial" w:eastAsia="Times New Roman" w:hAnsi="Arial" w:cs="Arial"/>
          <w:bCs/>
          <w:kern w:val="36"/>
          <w:sz w:val="20"/>
          <w:szCs w:val="20"/>
          <w:lang w:eastAsia="en-CA"/>
        </w:rPr>
        <w:t>The</w:t>
      </w:r>
      <w:r w:rsidR="00C2033F" w:rsidRPr="00CE6670">
        <w:rPr>
          <w:rFonts w:ascii="Arial" w:eastAsia="Times New Roman" w:hAnsi="Arial" w:cs="Arial"/>
          <w:bCs/>
          <w:kern w:val="36"/>
          <w:sz w:val="20"/>
          <w:szCs w:val="20"/>
          <w:lang w:eastAsia="en-CA"/>
        </w:rPr>
        <w:t xml:space="preserve"> </w:t>
      </w:r>
      <w:r w:rsidRPr="00CE6670">
        <w:rPr>
          <w:rFonts w:ascii="Arial" w:eastAsia="Times New Roman" w:hAnsi="Arial" w:cs="Arial"/>
          <w:bCs/>
          <w:kern w:val="36"/>
          <w:sz w:val="20"/>
          <w:szCs w:val="20"/>
          <w:lang w:eastAsia="en-CA"/>
        </w:rPr>
        <w:t>Target Benefit Plan</w:t>
      </w:r>
      <w:r w:rsidR="00C2033F" w:rsidRPr="00CE6670">
        <w:rPr>
          <w:rFonts w:ascii="Arial" w:eastAsia="Times New Roman" w:hAnsi="Arial" w:cs="Arial"/>
          <w:bCs/>
          <w:kern w:val="36"/>
          <w:sz w:val="20"/>
          <w:szCs w:val="20"/>
          <w:lang w:eastAsia="en-CA"/>
        </w:rPr>
        <w:t xml:space="preserve"> </w:t>
      </w:r>
      <w:r w:rsidR="005A7CDA" w:rsidRPr="00CE6670">
        <w:rPr>
          <w:rFonts w:ascii="Arial" w:eastAsia="Times New Roman" w:hAnsi="Arial" w:cs="Arial"/>
          <w:bCs/>
          <w:kern w:val="36"/>
          <w:sz w:val="20"/>
          <w:szCs w:val="20"/>
          <w:lang w:eastAsia="en-CA"/>
        </w:rPr>
        <w:t>(TBP) is</w:t>
      </w:r>
      <w:r w:rsidR="00C2033F" w:rsidRPr="00CE6670">
        <w:rPr>
          <w:rFonts w:ascii="Arial" w:eastAsia="Times New Roman" w:hAnsi="Arial" w:cs="Arial"/>
          <w:bCs/>
          <w:kern w:val="36"/>
          <w:sz w:val="20"/>
          <w:szCs w:val="20"/>
          <w:lang w:eastAsia="en-CA"/>
        </w:rPr>
        <w:t xml:space="preserve"> </w:t>
      </w:r>
      <w:r w:rsidR="005A7CDA" w:rsidRPr="00CE6670">
        <w:rPr>
          <w:rFonts w:ascii="Arial" w:eastAsia="Times New Roman" w:hAnsi="Arial" w:cs="Arial"/>
          <w:bCs/>
          <w:kern w:val="36"/>
          <w:sz w:val="20"/>
          <w:szCs w:val="20"/>
          <w:lang w:eastAsia="en-CA"/>
        </w:rPr>
        <w:t xml:space="preserve">a </w:t>
      </w:r>
      <w:r w:rsidR="00906593" w:rsidRPr="00CE6670">
        <w:rPr>
          <w:rFonts w:ascii="Arial" w:eastAsia="Times New Roman" w:hAnsi="Arial" w:cs="Arial"/>
          <w:bCs/>
          <w:kern w:val="36"/>
          <w:sz w:val="20"/>
          <w:szCs w:val="20"/>
          <w:lang w:eastAsia="en-CA"/>
        </w:rPr>
        <w:t xml:space="preserve">newer </w:t>
      </w:r>
      <w:r w:rsidR="005A7CDA" w:rsidRPr="00CE6670">
        <w:rPr>
          <w:rFonts w:ascii="Arial" w:eastAsia="Times New Roman" w:hAnsi="Arial" w:cs="Arial"/>
          <w:bCs/>
          <w:kern w:val="36"/>
          <w:sz w:val="20"/>
          <w:szCs w:val="20"/>
          <w:lang w:eastAsia="en-CA"/>
        </w:rPr>
        <w:t xml:space="preserve">variation on the </w:t>
      </w:r>
      <w:r w:rsidR="00906593" w:rsidRPr="00CE6670">
        <w:rPr>
          <w:rFonts w:ascii="Arial" w:eastAsia="Times New Roman" w:hAnsi="Arial" w:cs="Arial"/>
          <w:bCs/>
          <w:kern w:val="36"/>
          <w:sz w:val="20"/>
          <w:szCs w:val="20"/>
          <w:lang w:eastAsia="en-CA"/>
        </w:rPr>
        <w:t xml:space="preserve">defined benefit plan </w:t>
      </w:r>
      <w:r w:rsidR="005A7CDA" w:rsidRPr="00CE6670">
        <w:rPr>
          <w:rFonts w:ascii="Arial" w:eastAsia="Times New Roman" w:hAnsi="Arial" w:cs="Arial"/>
          <w:bCs/>
          <w:kern w:val="36"/>
          <w:sz w:val="20"/>
          <w:szCs w:val="20"/>
          <w:lang w:eastAsia="en-CA"/>
        </w:rPr>
        <w:t xml:space="preserve">that </w:t>
      </w:r>
      <w:r w:rsidR="00906593" w:rsidRPr="00CE6670">
        <w:rPr>
          <w:rFonts w:ascii="Arial" w:eastAsia="Times New Roman" w:hAnsi="Arial" w:cs="Arial"/>
          <w:bCs/>
          <w:kern w:val="36"/>
          <w:sz w:val="20"/>
          <w:szCs w:val="20"/>
          <w:lang w:eastAsia="en-CA"/>
        </w:rPr>
        <w:t xml:space="preserve">has gained </w:t>
      </w:r>
      <w:r w:rsidR="00FE105F" w:rsidRPr="00CE6670">
        <w:rPr>
          <w:rFonts w:ascii="Arial" w:eastAsia="Times New Roman" w:hAnsi="Arial" w:cs="Arial"/>
          <w:bCs/>
          <w:kern w:val="36"/>
          <w:sz w:val="20"/>
          <w:szCs w:val="20"/>
          <w:lang w:eastAsia="en-CA"/>
        </w:rPr>
        <w:t xml:space="preserve">some </w:t>
      </w:r>
      <w:r w:rsidR="00906593" w:rsidRPr="00CE6670">
        <w:rPr>
          <w:rFonts w:ascii="Arial" w:eastAsia="Times New Roman" w:hAnsi="Arial" w:cs="Arial"/>
          <w:bCs/>
          <w:kern w:val="36"/>
          <w:sz w:val="20"/>
          <w:szCs w:val="20"/>
          <w:lang w:eastAsia="en-CA"/>
        </w:rPr>
        <w:t>prominence in recent years.</w:t>
      </w:r>
      <w:r w:rsidR="00E46176" w:rsidRPr="00CE6670">
        <w:rPr>
          <w:rFonts w:ascii="Arial" w:eastAsia="Times New Roman" w:hAnsi="Arial" w:cs="Arial"/>
          <w:bCs/>
          <w:kern w:val="36"/>
          <w:sz w:val="20"/>
          <w:szCs w:val="20"/>
          <w:lang w:eastAsia="en-CA"/>
        </w:rPr>
        <w:t xml:space="preserve"> </w:t>
      </w:r>
      <w:r w:rsidR="005A7CDA" w:rsidRPr="00CE6670">
        <w:rPr>
          <w:rFonts w:ascii="Arial" w:eastAsia="Times New Roman" w:hAnsi="Arial" w:cs="Arial"/>
          <w:bCs/>
          <w:kern w:val="36"/>
          <w:sz w:val="20"/>
          <w:szCs w:val="20"/>
          <w:lang w:eastAsia="en-CA"/>
        </w:rPr>
        <w:t xml:space="preserve">The following definitions are from a 2014 article by Jana Steele and Ian </w:t>
      </w:r>
      <w:proofErr w:type="spellStart"/>
      <w:r w:rsidR="005A7CDA" w:rsidRPr="00CE6670">
        <w:rPr>
          <w:rFonts w:ascii="Arial" w:eastAsia="Times New Roman" w:hAnsi="Arial" w:cs="Arial"/>
          <w:bCs/>
          <w:kern w:val="36"/>
          <w:sz w:val="20"/>
          <w:szCs w:val="20"/>
          <w:lang w:eastAsia="en-CA"/>
        </w:rPr>
        <w:t>McSweeney</w:t>
      </w:r>
      <w:proofErr w:type="spellEnd"/>
      <w:r w:rsidR="005A7CDA" w:rsidRPr="00CE6670">
        <w:rPr>
          <w:rFonts w:ascii="Arial" w:eastAsia="Times New Roman" w:hAnsi="Arial" w:cs="Arial"/>
          <w:bCs/>
          <w:kern w:val="36"/>
          <w:sz w:val="20"/>
          <w:szCs w:val="20"/>
          <w:lang w:eastAsia="en-CA"/>
        </w:rPr>
        <w:t xml:space="preserve"> in Canada Pensions and Benefits Law:</w:t>
      </w:r>
    </w:p>
    <w:p w:rsidR="005A7CDA" w:rsidRPr="00CE6670" w:rsidRDefault="005A7CDA" w:rsidP="002D65CF">
      <w:pPr>
        <w:spacing w:before="100" w:beforeAutospacing="1" w:after="120" w:line="240" w:lineRule="auto"/>
        <w:ind w:left="720"/>
        <w:outlineLvl w:val="0"/>
        <w:rPr>
          <w:rFonts w:ascii="Arial" w:hAnsi="Arial" w:cs="Arial"/>
          <w:color w:val="000000" w:themeColor="text1"/>
          <w:sz w:val="20"/>
          <w:szCs w:val="20"/>
        </w:rPr>
      </w:pPr>
      <w:r w:rsidRPr="00CE6670">
        <w:rPr>
          <w:rFonts w:ascii="Arial" w:hAnsi="Arial" w:cs="Arial"/>
          <w:b/>
          <w:sz w:val="20"/>
          <w:szCs w:val="20"/>
          <w:u w:val="single"/>
        </w:rPr>
        <w:t>Defined Benefit Plans (DB)</w:t>
      </w:r>
      <w:r w:rsidRPr="00CE6670">
        <w:rPr>
          <w:rFonts w:ascii="Arial" w:hAnsi="Arial" w:cs="Arial"/>
          <w:b/>
          <w:sz w:val="20"/>
          <w:szCs w:val="20"/>
        </w:rPr>
        <w:t>:</w:t>
      </w:r>
      <w:r w:rsidRPr="00CE6670">
        <w:rPr>
          <w:rFonts w:ascii="Arial" w:hAnsi="Arial" w:cs="Arial"/>
          <w:sz w:val="20"/>
          <w:szCs w:val="20"/>
        </w:rPr>
        <w:t xml:space="preserve">  DB plans provide a pension payable for life at retirement and the employer is responsible for funding the benefit, subject to any fixed required employee contributions. Where there are funding deficits in the plan, the employer is </w:t>
      </w:r>
      <w:r w:rsidRPr="00CE6670">
        <w:rPr>
          <w:rFonts w:ascii="Arial" w:hAnsi="Arial" w:cs="Arial"/>
          <w:color w:val="000000" w:themeColor="text1"/>
          <w:sz w:val="20"/>
          <w:szCs w:val="20"/>
        </w:rPr>
        <w:t xml:space="preserve">required to make additional payments to address the deficiency. </w:t>
      </w:r>
    </w:p>
    <w:p w:rsidR="002D65CF" w:rsidRPr="00CE6670" w:rsidRDefault="002D65CF" w:rsidP="002D65CF">
      <w:pPr>
        <w:spacing w:after="100" w:afterAutospacing="1" w:line="240" w:lineRule="auto"/>
        <w:ind w:left="720"/>
        <w:outlineLvl w:val="0"/>
        <w:rPr>
          <w:rFonts w:ascii="Arial" w:hAnsi="Arial" w:cs="Arial"/>
          <w:color w:val="000000" w:themeColor="text1"/>
          <w:sz w:val="20"/>
          <w:szCs w:val="20"/>
        </w:rPr>
      </w:pPr>
      <w:r w:rsidRPr="00CE6670">
        <w:rPr>
          <w:rFonts w:ascii="Arial" w:hAnsi="Arial" w:cs="Arial"/>
          <w:i/>
          <w:color w:val="000000" w:themeColor="text1"/>
          <w:sz w:val="20"/>
          <w:szCs w:val="20"/>
        </w:rPr>
        <w:t>[</w:t>
      </w:r>
      <w:r w:rsidR="00A21606">
        <w:rPr>
          <w:rFonts w:ascii="Arial" w:hAnsi="Arial" w:cs="Arial"/>
          <w:i/>
          <w:color w:val="000000" w:themeColor="text1"/>
          <w:sz w:val="20"/>
          <w:szCs w:val="20"/>
        </w:rPr>
        <w:t xml:space="preserve">Note: </w:t>
      </w:r>
      <w:r w:rsidR="00FE105F" w:rsidRPr="00CE6670">
        <w:rPr>
          <w:rFonts w:ascii="Arial" w:hAnsi="Arial" w:cs="Arial"/>
          <w:i/>
          <w:color w:val="000000" w:themeColor="text1"/>
          <w:sz w:val="20"/>
          <w:szCs w:val="20"/>
        </w:rPr>
        <w:t>T</w:t>
      </w:r>
      <w:r w:rsidRPr="00CE6670">
        <w:rPr>
          <w:rFonts w:ascii="Arial" w:hAnsi="Arial" w:cs="Arial"/>
          <w:i/>
          <w:color w:val="000000" w:themeColor="text1"/>
          <w:sz w:val="20"/>
          <w:szCs w:val="20"/>
        </w:rPr>
        <w:t xml:space="preserve">here are jointly sponsored DB plans in which the employer and </w:t>
      </w:r>
      <w:r w:rsidR="00A21606">
        <w:rPr>
          <w:rFonts w:ascii="Arial" w:hAnsi="Arial" w:cs="Arial"/>
          <w:i/>
          <w:color w:val="000000" w:themeColor="text1"/>
          <w:sz w:val="20"/>
          <w:szCs w:val="20"/>
        </w:rPr>
        <w:t>employees/</w:t>
      </w:r>
      <w:r w:rsidRPr="00CE6670">
        <w:rPr>
          <w:rFonts w:ascii="Arial" w:hAnsi="Arial" w:cs="Arial"/>
          <w:i/>
          <w:color w:val="000000" w:themeColor="text1"/>
          <w:sz w:val="20"/>
          <w:szCs w:val="20"/>
        </w:rPr>
        <w:t>union</w:t>
      </w:r>
      <w:r w:rsidR="00A21606">
        <w:rPr>
          <w:rFonts w:ascii="Arial" w:hAnsi="Arial" w:cs="Arial"/>
          <w:i/>
          <w:color w:val="000000" w:themeColor="text1"/>
          <w:sz w:val="20"/>
          <w:szCs w:val="20"/>
        </w:rPr>
        <w:t>(s)</w:t>
      </w:r>
      <w:r w:rsidRPr="00CE6670">
        <w:rPr>
          <w:rFonts w:ascii="Arial" w:hAnsi="Arial" w:cs="Arial"/>
          <w:i/>
          <w:color w:val="000000" w:themeColor="text1"/>
          <w:sz w:val="20"/>
          <w:szCs w:val="20"/>
        </w:rPr>
        <w:t xml:space="preserve"> share responsibility</w:t>
      </w:r>
      <w:r w:rsidR="006809BA">
        <w:rPr>
          <w:rFonts w:ascii="Arial" w:hAnsi="Arial" w:cs="Arial"/>
          <w:i/>
          <w:color w:val="000000" w:themeColor="text1"/>
          <w:sz w:val="20"/>
          <w:szCs w:val="20"/>
        </w:rPr>
        <w:t xml:space="preserve"> for the plan</w:t>
      </w:r>
      <w:r w:rsidR="00A21606">
        <w:rPr>
          <w:rFonts w:ascii="Arial" w:hAnsi="Arial" w:cs="Arial"/>
          <w:i/>
          <w:color w:val="000000" w:themeColor="text1"/>
          <w:sz w:val="20"/>
          <w:szCs w:val="20"/>
        </w:rPr>
        <w:t>, including funding of deficits</w:t>
      </w:r>
      <w:r w:rsidRPr="00CE6670">
        <w:rPr>
          <w:rFonts w:ascii="Arial" w:hAnsi="Arial" w:cs="Arial"/>
          <w:i/>
          <w:color w:val="000000" w:themeColor="text1"/>
          <w:sz w:val="20"/>
          <w:szCs w:val="20"/>
        </w:rPr>
        <w:t>.]</w:t>
      </w:r>
      <w:r w:rsidRPr="00CE6670">
        <w:rPr>
          <w:rFonts w:ascii="Arial" w:hAnsi="Arial" w:cs="Arial"/>
          <w:color w:val="000000" w:themeColor="text1"/>
          <w:sz w:val="20"/>
          <w:szCs w:val="20"/>
        </w:rPr>
        <w:t xml:space="preserve"> </w:t>
      </w:r>
    </w:p>
    <w:p w:rsidR="005A7CDA" w:rsidRPr="00CE6670" w:rsidRDefault="005A7CDA" w:rsidP="005A7CDA">
      <w:pPr>
        <w:spacing w:before="100" w:beforeAutospacing="1" w:after="100" w:afterAutospacing="1" w:line="240" w:lineRule="auto"/>
        <w:ind w:left="720"/>
        <w:outlineLvl w:val="0"/>
        <w:rPr>
          <w:rFonts w:ascii="Arial" w:hAnsi="Arial" w:cs="Arial"/>
          <w:color w:val="000000" w:themeColor="text1"/>
          <w:sz w:val="20"/>
          <w:szCs w:val="20"/>
        </w:rPr>
      </w:pPr>
      <w:r w:rsidRPr="00CE6670">
        <w:rPr>
          <w:rFonts w:ascii="Arial" w:hAnsi="Arial" w:cs="Arial"/>
          <w:b/>
          <w:color w:val="000000" w:themeColor="text1"/>
          <w:sz w:val="20"/>
          <w:szCs w:val="20"/>
          <w:u w:val="single"/>
        </w:rPr>
        <w:t>Defined Contribution Plans (DC)</w:t>
      </w:r>
      <w:r w:rsidRPr="00CE6670">
        <w:rPr>
          <w:rFonts w:ascii="Arial" w:hAnsi="Arial" w:cs="Arial"/>
          <w:b/>
          <w:color w:val="000000" w:themeColor="text1"/>
          <w:sz w:val="20"/>
          <w:szCs w:val="20"/>
        </w:rPr>
        <w:t>:</w:t>
      </w:r>
      <w:r w:rsidRPr="00CE6670">
        <w:rPr>
          <w:rFonts w:ascii="Arial" w:hAnsi="Arial" w:cs="Arial"/>
          <w:color w:val="000000" w:themeColor="text1"/>
          <w:sz w:val="20"/>
          <w:szCs w:val="20"/>
        </w:rPr>
        <w:t xml:space="preserve">  DC plans are similar to group RRSPs and provide a capital accumulation savings-type vehicle. Employer contributions (along with any employee contributions) are fixed, but the ultimate benefit for the employee is uncertain, being subject to contributions and investment performance. Because longevity risk is not pooled and each individual has to rely on his or her own savings account, there is a risk of a member outliving his or her retirement savings.</w:t>
      </w:r>
    </w:p>
    <w:p w:rsidR="005A7CDA" w:rsidRPr="00CE6670" w:rsidRDefault="005A7CDA" w:rsidP="005A7CDA">
      <w:pPr>
        <w:spacing w:before="100" w:beforeAutospacing="1" w:after="100" w:afterAutospacing="1" w:line="240" w:lineRule="auto"/>
        <w:ind w:left="720"/>
        <w:outlineLvl w:val="0"/>
        <w:rPr>
          <w:rFonts w:ascii="Arial" w:hAnsi="Arial" w:cs="Arial"/>
          <w:color w:val="000000" w:themeColor="text1"/>
          <w:sz w:val="20"/>
          <w:szCs w:val="20"/>
        </w:rPr>
      </w:pPr>
      <w:r w:rsidRPr="00CE6670">
        <w:rPr>
          <w:rFonts w:ascii="Arial" w:hAnsi="Arial" w:cs="Arial"/>
          <w:b/>
          <w:color w:val="000000" w:themeColor="text1"/>
          <w:sz w:val="20"/>
          <w:szCs w:val="20"/>
          <w:u w:val="single"/>
        </w:rPr>
        <w:t>Target Benefit Plans (TBP)</w:t>
      </w:r>
      <w:r w:rsidRPr="00CE6670">
        <w:rPr>
          <w:rFonts w:ascii="Arial" w:hAnsi="Arial" w:cs="Arial"/>
          <w:b/>
          <w:color w:val="000000" w:themeColor="text1"/>
          <w:sz w:val="20"/>
          <w:szCs w:val="20"/>
        </w:rPr>
        <w:t>:</w:t>
      </w:r>
      <w:r w:rsidRPr="00CE6670">
        <w:rPr>
          <w:rFonts w:ascii="Arial" w:hAnsi="Arial" w:cs="Arial"/>
          <w:color w:val="000000" w:themeColor="text1"/>
          <w:sz w:val="20"/>
          <w:szCs w:val="20"/>
        </w:rPr>
        <w:t xml:space="preserve"> Like DC plans, contributions to a TBP are fixed (or variable within a narrow range). Like DB plans, target benefit plans provide a DB-type pension at retirement and pool both longevity and investment risks. However, under a TBP, benefits may be adjusted, up or down, in response to the plan’s funded position from time to time. The goal of TBPs is to deliver the targeted benefit, but at the same time ensure sustainability and maintain intergenerational fairness. If there are insufficient funds in the plan to deliver the targeted benefit, the benefits may be decreased. Allowing benefit adjustment is another lever in addition to payment of additional contributions where there are funding concerns.</w:t>
      </w:r>
    </w:p>
    <w:p w:rsidR="005A7CDA" w:rsidRPr="00CE6670" w:rsidRDefault="005A7CDA" w:rsidP="005A7CDA">
      <w:pPr>
        <w:spacing w:before="100" w:beforeAutospacing="1" w:after="100" w:afterAutospacing="1" w:line="240" w:lineRule="auto"/>
        <w:ind w:left="720"/>
        <w:outlineLvl w:val="0"/>
        <w:rPr>
          <w:rFonts w:ascii="Arial" w:eastAsia="Times New Roman" w:hAnsi="Arial" w:cs="Arial"/>
          <w:bCs/>
          <w:color w:val="000000" w:themeColor="text1"/>
          <w:kern w:val="36"/>
          <w:sz w:val="20"/>
          <w:szCs w:val="20"/>
          <w:lang w:eastAsia="en-CA"/>
        </w:rPr>
      </w:pPr>
      <w:r w:rsidRPr="00CE6670">
        <w:rPr>
          <w:rFonts w:ascii="Arial" w:eastAsia="Times New Roman" w:hAnsi="Arial" w:cs="Arial"/>
          <w:bCs/>
          <w:color w:val="000000" w:themeColor="text1"/>
          <w:kern w:val="36"/>
          <w:sz w:val="20"/>
          <w:szCs w:val="20"/>
          <w:lang w:eastAsia="en-CA"/>
        </w:rPr>
        <w:t xml:space="preserve">(Steele and </w:t>
      </w:r>
      <w:proofErr w:type="spellStart"/>
      <w:r w:rsidRPr="00CE6670">
        <w:rPr>
          <w:rFonts w:ascii="Arial" w:eastAsia="Times New Roman" w:hAnsi="Arial" w:cs="Arial"/>
          <w:bCs/>
          <w:color w:val="000000" w:themeColor="text1"/>
          <w:kern w:val="36"/>
          <w:sz w:val="20"/>
          <w:szCs w:val="20"/>
          <w:lang w:eastAsia="en-CA"/>
        </w:rPr>
        <w:t>McSweeney</w:t>
      </w:r>
      <w:proofErr w:type="spellEnd"/>
      <w:r w:rsidRPr="00CE6670">
        <w:rPr>
          <w:rFonts w:ascii="Arial" w:eastAsia="Times New Roman" w:hAnsi="Arial" w:cs="Arial"/>
          <w:bCs/>
          <w:color w:val="000000" w:themeColor="text1"/>
          <w:kern w:val="36"/>
          <w:sz w:val="20"/>
          <w:szCs w:val="20"/>
          <w:lang w:eastAsia="en-CA"/>
        </w:rPr>
        <w:t xml:space="preserve"> 2014)</w:t>
      </w:r>
    </w:p>
    <w:p w:rsidR="005A7CDA" w:rsidRPr="00CE6670" w:rsidRDefault="00FE105F">
      <w:pPr>
        <w:rPr>
          <w:rFonts w:ascii="Arial" w:hAnsi="Arial" w:cs="Arial"/>
          <w:b/>
          <w:sz w:val="20"/>
          <w:szCs w:val="20"/>
        </w:rPr>
      </w:pPr>
      <w:r w:rsidRPr="00CE6670">
        <w:rPr>
          <w:rFonts w:ascii="Arial" w:eastAsia="Times New Roman" w:hAnsi="Arial" w:cs="Arial"/>
          <w:bCs/>
          <w:color w:val="000000" w:themeColor="text1"/>
          <w:kern w:val="36"/>
          <w:sz w:val="20"/>
          <w:szCs w:val="20"/>
          <w:lang w:eastAsia="en-CA"/>
        </w:rPr>
        <w:t>Changes</w:t>
      </w:r>
      <w:r w:rsidR="005A7CDA" w:rsidRPr="00CE6670">
        <w:rPr>
          <w:rFonts w:ascii="Arial" w:eastAsia="Times New Roman" w:hAnsi="Arial" w:cs="Arial"/>
          <w:bCs/>
          <w:color w:val="000000" w:themeColor="text1"/>
          <w:kern w:val="36"/>
          <w:sz w:val="20"/>
          <w:szCs w:val="20"/>
          <w:lang w:eastAsia="en-CA"/>
        </w:rPr>
        <w:t xml:space="preserve"> to pension standard legislation </w:t>
      </w:r>
      <w:r w:rsidR="00A21606">
        <w:rPr>
          <w:rFonts w:ascii="Arial" w:eastAsia="Times New Roman" w:hAnsi="Arial" w:cs="Arial"/>
          <w:bCs/>
          <w:color w:val="000000" w:themeColor="text1"/>
          <w:kern w:val="36"/>
          <w:sz w:val="20"/>
          <w:szCs w:val="20"/>
          <w:lang w:eastAsia="en-CA"/>
        </w:rPr>
        <w:t>may be</w:t>
      </w:r>
      <w:r w:rsidRPr="00CE6670">
        <w:rPr>
          <w:rFonts w:ascii="Arial" w:eastAsia="Times New Roman" w:hAnsi="Arial" w:cs="Arial"/>
          <w:bCs/>
          <w:color w:val="000000" w:themeColor="text1"/>
          <w:kern w:val="36"/>
          <w:sz w:val="20"/>
          <w:szCs w:val="20"/>
          <w:lang w:eastAsia="en-CA"/>
        </w:rPr>
        <w:t xml:space="preserve"> </w:t>
      </w:r>
      <w:r w:rsidR="005A7CDA" w:rsidRPr="00CE6670">
        <w:rPr>
          <w:rFonts w:ascii="Arial" w:eastAsia="Times New Roman" w:hAnsi="Arial" w:cs="Arial"/>
          <w:bCs/>
          <w:color w:val="000000" w:themeColor="text1"/>
          <w:kern w:val="36"/>
          <w:sz w:val="20"/>
          <w:szCs w:val="20"/>
          <w:lang w:eastAsia="en-CA"/>
        </w:rPr>
        <w:t>required to allow target benefit plans in single employer settings.</w:t>
      </w:r>
      <w:r w:rsidR="005A7CDA" w:rsidRPr="00CE6670">
        <w:rPr>
          <w:rFonts w:ascii="Arial" w:hAnsi="Arial" w:cs="Arial"/>
          <w:color w:val="000000" w:themeColor="text1"/>
          <w:sz w:val="20"/>
          <w:szCs w:val="20"/>
        </w:rPr>
        <w:t xml:space="preserve"> </w:t>
      </w:r>
      <w:r w:rsidRPr="00CE6670">
        <w:rPr>
          <w:rFonts w:ascii="Arial" w:hAnsi="Arial" w:cs="Arial"/>
          <w:color w:val="000000" w:themeColor="text1"/>
          <w:sz w:val="20"/>
          <w:szCs w:val="20"/>
        </w:rPr>
        <w:t>M</w:t>
      </w:r>
      <w:r w:rsidR="005A7CDA" w:rsidRPr="00CE6670">
        <w:rPr>
          <w:rFonts w:ascii="Arial" w:hAnsi="Arial" w:cs="Arial"/>
          <w:color w:val="000000" w:themeColor="text1"/>
          <w:sz w:val="20"/>
          <w:szCs w:val="20"/>
        </w:rPr>
        <w:t>ost current benefit legislation does not allow plan administrators to adjust benefits downward if the funded status of a pension plan declines. (Steele et al. 2014, p. 7)</w:t>
      </w:r>
      <w:r w:rsidR="009D41E6" w:rsidRPr="00CE6670">
        <w:rPr>
          <w:rFonts w:ascii="Arial" w:hAnsi="Arial" w:cs="Arial"/>
          <w:color w:val="000000" w:themeColor="text1"/>
          <w:sz w:val="20"/>
          <w:szCs w:val="20"/>
        </w:rPr>
        <w:t xml:space="preserve"> </w:t>
      </w:r>
    </w:p>
    <w:p w:rsidR="00A52C02" w:rsidRDefault="00A52C02">
      <w:pPr>
        <w:rPr>
          <w:rFonts w:ascii="Arial" w:hAnsi="Arial" w:cs="Arial"/>
          <w:b/>
          <w:sz w:val="24"/>
          <w:szCs w:val="24"/>
        </w:rPr>
      </w:pPr>
      <w:r>
        <w:rPr>
          <w:rFonts w:ascii="Arial" w:hAnsi="Arial" w:cs="Arial"/>
          <w:b/>
          <w:sz w:val="24"/>
          <w:szCs w:val="24"/>
        </w:rPr>
        <w:br w:type="page"/>
      </w:r>
    </w:p>
    <w:p w:rsidR="0044000C" w:rsidRPr="00CE6670" w:rsidRDefault="00FE105F">
      <w:pPr>
        <w:rPr>
          <w:rFonts w:ascii="Arial" w:hAnsi="Arial" w:cs="Arial"/>
          <w:b/>
          <w:sz w:val="24"/>
          <w:szCs w:val="24"/>
        </w:rPr>
      </w:pPr>
      <w:r w:rsidRPr="00CE6670">
        <w:rPr>
          <w:rFonts w:ascii="Arial" w:hAnsi="Arial" w:cs="Arial"/>
          <w:b/>
          <w:sz w:val="24"/>
          <w:szCs w:val="24"/>
        </w:rPr>
        <w:lastRenderedPageBreak/>
        <w:t>Context</w:t>
      </w:r>
    </w:p>
    <w:p w:rsidR="00FE105F" w:rsidRPr="00CE6670" w:rsidRDefault="00FE105F" w:rsidP="00FE105F">
      <w:pPr>
        <w:pStyle w:val="NormalWeb"/>
        <w:rPr>
          <w:rFonts w:ascii="Arial" w:hAnsi="Arial" w:cs="Arial"/>
          <w:bCs/>
          <w:kern w:val="36"/>
          <w:sz w:val="20"/>
          <w:szCs w:val="20"/>
        </w:rPr>
      </w:pPr>
      <w:r w:rsidRPr="009B2F01">
        <w:rPr>
          <w:rFonts w:ascii="Arial" w:hAnsi="Arial" w:cs="Arial"/>
          <w:sz w:val="20"/>
          <w:szCs w:val="20"/>
        </w:rPr>
        <w:t xml:space="preserve">Demographic and economic </w:t>
      </w:r>
      <w:r w:rsidR="00A93EE8" w:rsidRPr="009B2F01">
        <w:rPr>
          <w:rFonts w:ascii="Arial" w:hAnsi="Arial" w:cs="Arial"/>
          <w:sz w:val="20"/>
          <w:szCs w:val="20"/>
        </w:rPr>
        <w:t xml:space="preserve">trends </w:t>
      </w:r>
      <w:r w:rsidR="00822FA7" w:rsidRPr="009B2F01">
        <w:rPr>
          <w:rFonts w:ascii="Arial" w:hAnsi="Arial" w:cs="Arial"/>
          <w:sz w:val="20"/>
          <w:szCs w:val="20"/>
        </w:rPr>
        <w:t xml:space="preserve">have </w:t>
      </w:r>
      <w:r w:rsidR="004E0507" w:rsidRPr="009B2F01">
        <w:rPr>
          <w:rFonts w:ascii="Arial" w:hAnsi="Arial" w:cs="Arial"/>
          <w:sz w:val="20"/>
          <w:szCs w:val="20"/>
        </w:rPr>
        <w:t>impacted p</w:t>
      </w:r>
      <w:r w:rsidR="00F822DB" w:rsidRPr="009B2F01">
        <w:rPr>
          <w:rFonts w:ascii="Arial" w:hAnsi="Arial" w:cs="Arial"/>
          <w:sz w:val="20"/>
          <w:szCs w:val="20"/>
        </w:rPr>
        <w:t xml:space="preserve">ension plans </w:t>
      </w:r>
      <w:r w:rsidR="00A93EE8" w:rsidRPr="009B2F01">
        <w:rPr>
          <w:rFonts w:ascii="Arial" w:hAnsi="Arial" w:cs="Arial"/>
          <w:sz w:val="20"/>
          <w:szCs w:val="20"/>
        </w:rPr>
        <w:t>in both the private and public sectors.</w:t>
      </w:r>
      <w:r w:rsidRPr="009B2F01">
        <w:rPr>
          <w:rFonts w:ascii="Arial" w:hAnsi="Arial" w:cs="Arial"/>
          <w:sz w:val="20"/>
          <w:szCs w:val="20"/>
        </w:rPr>
        <w:t xml:space="preserve"> The </w:t>
      </w:r>
      <w:r w:rsidRPr="009B2F01">
        <w:rPr>
          <w:rFonts w:ascii="Arial" w:hAnsi="Arial" w:cs="Arial"/>
          <w:bCs/>
          <w:kern w:val="36"/>
          <w:sz w:val="20"/>
          <w:szCs w:val="20"/>
        </w:rPr>
        <w:t xml:space="preserve">demographic </w:t>
      </w:r>
      <w:r w:rsidR="007637A1" w:rsidRPr="009B2F01">
        <w:rPr>
          <w:rFonts w:ascii="Arial" w:hAnsi="Arial" w:cs="Arial"/>
          <w:bCs/>
          <w:kern w:val="36"/>
          <w:sz w:val="20"/>
          <w:szCs w:val="20"/>
        </w:rPr>
        <w:t>aspect</w:t>
      </w:r>
      <w:r w:rsidRPr="009B2F01">
        <w:rPr>
          <w:rFonts w:ascii="Arial" w:hAnsi="Arial" w:cs="Arial"/>
          <w:bCs/>
          <w:kern w:val="36"/>
          <w:sz w:val="20"/>
          <w:szCs w:val="20"/>
        </w:rPr>
        <w:t xml:space="preserve"> is characterized by increasing numbers of baby boomers reaching retirement age, longer life</w:t>
      </w:r>
      <w:r w:rsidR="00783234" w:rsidRPr="009B2F01">
        <w:rPr>
          <w:rFonts w:ascii="Arial" w:hAnsi="Arial" w:cs="Arial"/>
          <w:bCs/>
          <w:kern w:val="36"/>
          <w:sz w:val="20"/>
          <w:szCs w:val="20"/>
        </w:rPr>
        <w:t xml:space="preserve"> </w:t>
      </w:r>
      <w:r w:rsidRPr="009B2F01">
        <w:rPr>
          <w:rFonts w:ascii="Arial" w:hAnsi="Arial" w:cs="Arial"/>
          <w:bCs/>
          <w:kern w:val="36"/>
          <w:sz w:val="20"/>
          <w:szCs w:val="20"/>
        </w:rPr>
        <w:t xml:space="preserve">spans </w:t>
      </w:r>
      <w:r w:rsidR="007637A1" w:rsidRPr="009B2F01">
        <w:rPr>
          <w:rFonts w:ascii="Arial" w:hAnsi="Arial" w:cs="Arial"/>
          <w:bCs/>
          <w:kern w:val="36"/>
          <w:sz w:val="20"/>
          <w:szCs w:val="20"/>
        </w:rPr>
        <w:t xml:space="preserve">leading to </w:t>
      </w:r>
      <w:r w:rsidRPr="009B2F01">
        <w:rPr>
          <w:rFonts w:ascii="Arial" w:hAnsi="Arial" w:cs="Arial"/>
          <w:bCs/>
          <w:kern w:val="36"/>
          <w:sz w:val="20"/>
          <w:szCs w:val="20"/>
        </w:rPr>
        <w:t>longer retirements</w:t>
      </w:r>
      <w:r w:rsidR="00B61692" w:rsidRPr="009B2F01">
        <w:rPr>
          <w:rFonts w:ascii="Arial" w:hAnsi="Arial" w:cs="Arial"/>
          <w:bCs/>
          <w:kern w:val="36"/>
          <w:sz w:val="20"/>
          <w:szCs w:val="20"/>
        </w:rPr>
        <w:t>,</w:t>
      </w:r>
      <w:r w:rsidRPr="009B2F01">
        <w:rPr>
          <w:rFonts w:ascii="Arial" w:hAnsi="Arial" w:cs="Arial"/>
          <w:bCs/>
          <w:kern w:val="36"/>
          <w:sz w:val="20"/>
          <w:szCs w:val="20"/>
        </w:rPr>
        <w:t xml:space="preserve"> and fewer younger workers to pay into pension plans. On the economic side, interest rates have been low</w:t>
      </w:r>
      <w:r w:rsidRPr="00A21606">
        <w:rPr>
          <w:rFonts w:ascii="Arial" w:hAnsi="Arial" w:cs="Arial"/>
          <w:bCs/>
          <w:kern w:val="36"/>
          <w:sz w:val="20"/>
          <w:szCs w:val="20"/>
        </w:rPr>
        <w:t xml:space="preserve"> and investment returns less stable</w:t>
      </w:r>
      <w:r w:rsidR="00783234" w:rsidRPr="00A21606">
        <w:rPr>
          <w:rFonts w:ascii="Arial" w:hAnsi="Arial" w:cs="Arial"/>
          <w:bCs/>
          <w:kern w:val="36"/>
          <w:sz w:val="20"/>
          <w:szCs w:val="20"/>
        </w:rPr>
        <w:t>, particularly</w:t>
      </w:r>
      <w:r w:rsidRPr="00A21606">
        <w:rPr>
          <w:rFonts w:ascii="Arial" w:hAnsi="Arial" w:cs="Arial"/>
          <w:bCs/>
          <w:kern w:val="36"/>
          <w:sz w:val="20"/>
          <w:szCs w:val="20"/>
        </w:rPr>
        <w:t xml:space="preserve"> since the economic downturn of 2008</w:t>
      </w:r>
      <w:r w:rsidR="00783234" w:rsidRPr="00A21606">
        <w:rPr>
          <w:rFonts w:ascii="Arial" w:hAnsi="Arial" w:cs="Arial"/>
          <w:bCs/>
          <w:kern w:val="36"/>
          <w:sz w:val="20"/>
          <w:szCs w:val="20"/>
        </w:rPr>
        <w:t>,</w:t>
      </w:r>
      <w:r w:rsidRPr="00A21606">
        <w:rPr>
          <w:rFonts w:ascii="Arial" w:hAnsi="Arial" w:cs="Arial"/>
          <w:bCs/>
          <w:kern w:val="36"/>
          <w:sz w:val="20"/>
          <w:szCs w:val="20"/>
        </w:rPr>
        <w:t xml:space="preserve"> </w:t>
      </w:r>
      <w:r w:rsidR="002F10D6" w:rsidRPr="00A21606">
        <w:rPr>
          <w:rFonts w:ascii="Arial" w:hAnsi="Arial" w:cs="Arial"/>
          <w:bCs/>
          <w:kern w:val="36"/>
          <w:sz w:val="20"/>
          <w:szCs w:val="20"/>
        </w:rPr>
        <w:t xml:space="preserve">making it more difficult to </w:t>
      </w:r>
      <w:r w:rsidRPr="00A21606">
        <w:rPr>
          <w:rFonts w:ascii="Arial" w:hAnsi="Arial" w:cs="Arial"/>
          <w:bCs/>
          <w:kern w:val="36"/>
          <w:sz w:val="20"/>
          <w:szCs w:val="20"/>
        </w:rPr>
        <w:t>manag</w:t>
      </w:r>
      <w:r w:rsidR="002F10D6" w:rsidRPr="00A21606">
        <w:rPr>
          <w:rFonts w:ascii="Arial" w:hAnsi="Arial" w:cs="Arial"/>
          <w:bCs/>
          <w:kern w:val="36"/>
          <w:sz w:val="20"/>
          <w:szCs w:val="20"/>
        </w:rPr>
        <w:t>e</w:t>
      </w:r>
      <w:r w:rsidRPr="00A21606">
        <w:rPr>
          <w:rFonts w:ascii="Arial" w:hAnsi="Arial" w:cs="Arial"/>
          <w:bCs/>
          <w:kern w:val="36"/>
          <w:sz w:val="20"/>
          <w:szCs w:val="20"/>
        </w:rPr>
        <w:t xml:space="preserve"> </w:t>
      </w:r>
      <w:r w:rsidR="002F10D6" w:rsidRPr="00A21606">
        <w:rPr>
          <w:rFonts w:ascii="Arial" w:hAnsi="Arial" w:cs="Arial"/>
          <w:bCs/>
          <w:kern w:val="36"/>
          <w:sz w:val="20"/>
          <w:szCs w:val="20"/>
        </w:rPr>
        <w:t xml:space="preserve">pension </w:t>
      </w:r>
      <w:r w:rsidRPr="00A21606">
        <w:rPr>
          <w:rFonts w:ascii="Arial" w:hAnsi="Arial" w:cs="Arial"/>
          <w:bCs/>
          <w:kern w:val="36"/>
          <w:sz w:val="20"/>
          <w:szCs w:val="20"/>
        </w:rPr>
        <w:t xml:space="preserve">funds </w:t>
      </w:r>
      <w:r w:rsidR="00F77BC5">
        <w:rPr>
          <w:rFonts w:ascii="Arial" w:hAnsi="Arial" w:cs="Arial"/>
          <w:bCs/>
          <w:kern w:val="36"/>
          <w:sz w:val="20"/>
          <w:szCs w:val="20"/>
        </w:rPr>
        <w:t>to</w:t>
      </w:r>
      <w:r w:rsidRPr="00A21606">
        <w:rPr>
          <w:rFonts w:ascii="Arial" w:hAnsi="Arial" w:cs="Arial"/>
          <w:bCs/>
          <w:kern w:val="36"/>
          <w:sz w:val="20"/>
          <w:szCs w:val="20"/>
        </w:rPr>
        <w:t xml:space="preserve"> ensure future benefits.</w:t>
      </w:r>
    </w:p>
    <w:p w:rsidR="0072726A" w:rsidRPr="00CE6670" w:rsidRDefault="00A21606" w:rsidP="0072726A">
      <w:pPr>
        <w:rPr>
          <w:rFonts w:ascii="Arial" w:hAnsi="Arial" w:cs="Arial"/>
          <w:sz w:val="20"/>
          <w:szCs w:val="20"/>
        </w:rPr>
      </w:pPr>
      <w:r>
        <w:rPr>
          <w:rFonts w:ascii="Arial" w:hAnsi="Arial" w:cs="Arial"/>
          <w:sz w:val="20"/>
          <w:szCs w:val="20"/>
        </w:rPr>
        <w:t>The</w:t>
      </w:r>
      <w:r w:rsidR="004E0507">
        <w:rPr>
          <w:rFonts w:ascii="Arial" w:hAnsi="Arial" w:cs="Arial"/>
          <w:sz w:val="20"/>
          <w:szCs w:val="20"/>
        </w:rPr>
        <w:t xml:space="preserve">re have been </w:t>
      </w:r>
      <w:r>
        <w:rPr>
          <w:rFonts w:ascii="Arial" w:hAnsi="Arial" w:cs="Arial"/>
          <w:sz w:val="20"/>
          <w:szCs w:val="20"/>
        </w:rPr>
        <w:t>c</w:t>
      </w:r>
      <w:r w:rsidR="00CE6670" w:rsidRPr="00CE6670">
        <w:rPr>
          <w:rFonts w:ascii="Arial" w:hAnsi="Arial" w:cs="Arial"/>
          <w:sz w:val="20"/>
          <w:szCs w:val="20"/>
        </w:rPr>
        <w:t>hanges to workplace pension coverage</w:t>
      </w:r>
      <w:r w:rsidR="004E0507">
        <w:rPr>
          <w:rFonts w:ascii="Arial" w:hAnsi="Arial" w:cs="Arial"/>
          <w:sz w:val="20"/>
          <w:szCs w:val="20"/>
        </w:rPr>
        <w:t xml:space="preserve">, particularly in </w:t>
      </w:r>
      <w:r w:rsidR="00CE6670" w:rsidRPr="00CE6670">
        <w:rPr>
          <w:rFonts w:ascii="Arial" w:hAnsi="Arial" w:cs="Arial"/>
          <w:sz w:val="20"/>
          <w:szCs w:val="20"/>
        </w:rPr>
        <w:t>the private sector. Statistics Canada data indicates</w:t>
      </w:r>
      <w:r w:rsidR="001D09DF">
        <w:rPr>
          <w:rFonts w:ascii="Arial" w:hAnsi="Arial" w:cs="Arial"/>
          <w:sz w:val="20"/>
          <w:szCs w:val="20"/>
        </w:rPr>
        <w:t>:</w:t>
      </w:r>
    </w:p>
    <w:p w:rsidR="0072726A" w:rsidRPr="00CE6670" w:rsidRDefault="00A10E54" w:rsidP="0044000C">
      <w:pPr>
        <w:pStyle w:val="ListParagraph"/>
        <w:numPr>
          <w:ilvl w:val="0"/>
          <w:numId w:val="2"/>
        </w:numPr>
        <w:rPr>
          <w:rFonts w:ascii="Arial" w:hAnsi="Arial" w:cs="Arial"/>
          <w:sz w:val="20"/>
          <w:szCs w:val="20"/>
        </w:rPr>
      </w:pPr>
      <w:r w:rsidRPr="00CE6670">
        <w:rPr>
          <w:rFonts w:ascii="Arial" w:hAnsi="Arial" w:cs="Arial"/>
          <w:sz w:val="20"/>
          <w:szCs w:val="20"/>
        </w:rPr>
        <w:t xml:space="preserve">Only 38% of Canadian workers have workplace pension plans, </w:t>
      </w:r>
      <w:r w:rsidR="00E50375" w:rsidRPr="00CE6670">
        <w:rPr>
          <w:rFonts w:ascii="Arial" w:hAnsi="Arial" w:cs="Arial"/>
          <w:sz w:val="20"/>
          <w:szCs w:val="20"/>
        </w:rPr>
        <w:t xml:space="preserve">and coverage has been decreasing over the years. In 1991, </w:t>
      </w:r>
      <w:r w:rsidRPr="00CE6670">
        <w:rPr>
          <w:rFonts w:ascii="Arial" w:hAnsi="Arial" w:cs="Arial"/>
          <w:sz w:val="20"/>
          <w:szCs w:val="20"/>
        </w:rPr>
        <w:t xml:space="preserve">45% </w:t>
      </w:r>
      <w:r w:rsidR="00E50375" w:rsidRPr="00CE6670">
        <w:rPr>
          <w:rFonts w:ascii="Arial" w:hAnsi="Arial" w:cs="Arial"/>
          <w:sz w:val="20"/>
          <w:szCs w:val="20"/>
        </w:rPr>
        <w:t>of workers had plans.</w:t>
      </w:r>
    </w:p>
    <w:p w:rsidR="00A10E54" w:rsidRPr="00CE6670" w:rsidRDefault="00B7116C" w:rsidP="0044000C">
      <w:pPr>
        <w:pStyle w:val="ListParagraph"/>
        <w:numPr>
          <w:ilvl w:val="0"/>
          <w:numId w:val="2"/>
        </w:numPr>
        <w:rPr>
          <w:rFonts w:ascii="Arial" w:hAnsi="Arial" w:cs="Arial"/>
          <w:sz w:val="20"/>
          <w:szCs w:val="20"/>
        </w:rPr>
      </w:pPr>
      <w:r w:rsidRPr="00CE6670">
        <w:rPr>
          <w:rFonts w:ascii="Arial" w:hAnsi="Arial" w:cs="Arial"/>
          <w:sz w:val="20"/>
          <w:szCs w:val="20"/>
        </w:rPr>
        <w:t xml:space="preserve">Only 24% of private sector workers have workplace pension plans, compared to </w:t>
      </w:r>
      <w:r w:rsidR="00A10E54" w:rsidRPr="00CE6670">
        <w:rPr>
          <w:rFonts w:ascii="Arial" w:hAnsi="Arial" w:cs="Arial"/>
          <w:sz w:val="20"/>
          <w:szCs w:val="20"/>
        </w:rPr>
        <w:t>87% of public sector</w:t>
      </w:r>
      <w:r w:rsidRPr="00CE6670">
        <w:rPr>
          <w:rFonts w:ascii="Arial" w:hAnsi="Arial" w:cs="Arial"/>
          <w:sz w:val="20"/>
          <w:szCs w:val="20"/>
        </w:rPr>
        <w:t xml:space="preserve"> workers</w:t>
      </w:r>
      <w:r w:rsidR="00A10E54" w:rsidRPr="00CE6670">
        <w:rPr>
          <w:rFonts w:ascii="Arial" w:hAnsi="Arial" w:cs="Arial"/>
          <w:sz w:val="20"/>
          <w:szCs w:val="20"/>
        </w:rPr>
        <w:t>.</w:t>
      </w:r>
    </w:p>
    <w:p w:rsidR="00B7116C" w:rsidRDefault="002F10D6" w:rsidP="00B7116C">
      <w:pPr>
        <w:pStyle w:val="ListParagraph"/>
        <w:numPr>
          <w:ilvl w:val="0"/>
          <w:numId w:val="2"/>
        </w:numPr>
        <w:rPr>
          <w:rFonts w:ascii="Arial" w:hAnsi="Arial" w:cs="Arial"/>
          <w:sz w:val="20"/>
          <w:szCs w:val="20"/>
        </w:rPr>
      </w:pPr>
      <w:r w:rsidRPr="00CE6670">
        <w:rPr>
          <w:rFonts w:ascii="Arial" w:hAnsi="Arial" w:cs="Arial"/>
          <w:sz w:val="20"/>
          <w:szCs w:val="20"/>
        </w:rPr>
        <w:t>There has been a shift from d</w:t>
      </w:r>
      <w:r w:rsidR="00B7116C" w:rsidRPr="00CE6670">
        <w:rPr>
          <w:rFonts w:ascii="Arial" w:hAnsi="Arial" w:cs="Arial"/>
          <w:sz w:val="20"/>
          <w:szCs w:val="20"/>
        </w:rPr>
        <w:t xml:space="preserve">efined benefit </w:t>
      </w:r>
      <w:r w:rsidRPr="00CE6670">
        <w:rPr>
          <w:rFonts w:ascii="Arial" w:hAnsi="Arial" w:cs="Arial"/>
          <w:sz w:val="20"/>
          <w:szCs w:val="20"/>
        </w:rPr>
        <w:t xml:space="preserve">(DB) </w:t>
      </w:r>
      <w:r w:rsidR="00B7116C" w:rsidRPr="00CE6670">
        <w:rPr>
          <w:rFonts w:ascii="Arial" w:hAnsi="Arial" w:cs="Arial"/>
          <w:sz w:val="20"/>
          <w:szCs w:val="20"/>
        </w:rPr>
        <w:t xml:space="preserve">plans </w:t>
      </w:r>
      <w:r w:rsidRPr="00CE6670">
        <w:rPr>
          <w:rFonts w:ascii="Arial" w:hAnsi="Arial" w:cs="Arial"/>
          <w:sz w:val="20"/>
          <w:szCs w:val="20"/>
        </w:rPr>
        <w:t xml:space="preserve">to defined contribution (DC) plans in the private sector. Defined benefit plans now </w:t>
      </w:r>
      <w:r w:rsidR="00B7116C" w:rsidRPr="00CE6670">
        <w:rPr>
          <w:rFonts w:ascii="Arial" w:hAnsi="Arial" w:cs="Arial"/>
          <w:sz w:val="20"/>
          <w:szCs w:val="20"/>
        </w:rPr>
        <w:t xml:space="preserve">account for </w:t>
      </w:r>
      <w:r w:rsidRPr="00CE6670">
        <w:rPr>
          <w:rFonts w:ascii="Arial" w:hAnsi="Arial" w:cs="Arial"/>
          <w:sz w:val="20"/>
          <w:szCs w:val="20"/>
        </w:rPr>
        <w:t xml:space="preserve">only </w:t>
      </w:r>
      <w:r w:rsidR="00B7116C" w:rsidRPr="00CE6670">
        <w:rPr>
          <w:rFonts w:ascii="Arial" w:hAnsi="Arial" w:cs="Arial"/>
          <w:sz w:val="20"/>
          <w:szCs w:val="20"/>
        </w:rPr>
        <w:t xml:space="preserve">45% of </w:t>
      </w:r>
      <w:r w:rsidRPr="00CE6670">
        <w:rPr>
          <w:rFonts w:ascii="Arial" w:hAnsi="Arial" w:cs="Arial"/>
          <w:sz w:val="20"/>
          <w:szCs w:val="20"/>
        </w:rPr>
        <w:t xml:space="preserve">worker </w:t>
      </w:r>
      <w:r w:rsidR="00B7116C" w:rsidRPr="00CE6670">
        <w:rPr>
          <w:rFonts w:ascii="Arial" w:hAnsi="Arial" w:cs="Arial"/>
          <w:sz w:val="20"/>
          <w:szCs w:val="20"/>
        </w:rPr>
        <w:t xml:space="preserve">coverage in the private sector, </w:t>
      </w:r>
      <w:r w:rsidRPr="00CE6670">
        <w:rPr>
          <w:rFonts w:ascii="Arial" w:hAnsi="Arial" w:cs="Arial"/>
          <w:sz w:val="20"/>
          <w:szCs w:val="20"/>
        </w:rPr>
        <w:t xml:space="preserve">but still </w:t>
      </w:r>
      <w:r w:rsidR="00B7116C" w:rsidRPr="00CE6670">
        <w:rPr>
          <w:rFonts w:ascii="Arial" w:hAnsi="Arial" w:cs="Arial"/>
          <w:sz w:val="20"/>
          <w:szCs w:val="20"/>
        </w:rPr>
        <w:t>account for 87% of coverage in the public sector</w:t>
      </w:r>
      <w:r w:rsidR="00A10E54" w:rsidRPr="00CE6670">
        <w:rPr>
          <w:rFonts w:ascii="Arial" w:hAnsi="Arial" w:cs="Arial"/>
          <w:sz w:val="20"/>
          <w:szCs w:val="20"/>
        </w:rPr>
        <w:t>.</w:t>
      </w:r>
    </w:p>
    <w:p w:rsidR="000C7ABE" w:rsidRDefault="000C7ABE" w:rsidP="000C7ABE">
      <w:pPr>
        <w:pStyle w:val="ListParagraph"/>
        <w:rPr>
          <w:rFonts w:ascii="Arial" w:hAnsi="Arial" w:cs="Arial"/>
          <w:sz w:val="20"/>
          <w:szCs w:val="20"/>
        </w:rPr>
      </w:pPr>
    </w:p>
    <w:p w:rsidR="000C7ABE" w:rsidRPr="00CE6670" w:rsidRDefault="000C7ABE" w:rsidP="000C7ABE">
      <w:pPr>
        <w:pStyle w:val="ListParagraph"/>
        <w:rPr>
          <w:rFonts w:ascii="Arial" w:hAnsi="Arial" w:cs="Arial"/>
          <w:sz w:val="20"/>
          <w:szCs w:val="20"/>
        </w:rPr>
      </w:pPr>
      <w:r>
        <w:rPr>
          <w:rFonts w:ascii="Arial" w:hAnsi="Arial" w:cs="Arial"/>
          <w:sz w:val="20"/>
          <w:szCs w:val="20"/>
        </w:rPr>
        <w:t>(Statistics Canada 2016) (</w:t>
      </w:r>
      <w:proofErr w:type="spellStart"/>
      <w:r>
        <w:rPr>
          <w:rFonts w:ascii="Arial" w:hAnsi="Arial" w:cs="Arial"/>
          <w:sz w:val="20"/>
          <w:szCs w:val="20"/>
        </w:rPr>
        <w:t>Morissette</w:t>
      </w:r>
      <w:proofErr w:type="spellEnd"/>
      <w:r>
        <w:rPr>
          <w:rFonts w:ascii="Arial" w:hAnsi="Arial" w:cs="Arial"/>
          <w:sz w:val="20"/>
          <w:szCs w:val="20"/>
        </w:rPr>
        <w:t xml:space="preserve"> &amp; Zhang 2004)</w:t>
      </w:r>
    </w:p>
    <w:p w:rsidR="00DC3B65" w:rsidRPr="00CE6670" w:rsidRDefault="00F77C7A" w:rsidP="00B7116C">
      <w:pPr>
        <w:pStyle w:val="NormalWeb"/>
        <w:rPr>
          <w:rFonts w:ascii="Arial" w:hAnsi="Arial" w:cs="Arial"/>
          <w:sz w:val="20"/>
          <w:szCs w:val="20"/>
        </w:rPr>
      </w:pPr>
      <w:r w:rsidRPr="007637A1">
        <w:rPr>
          <w:rFonts w:ascii="Arial" w:hAnsi="Arial" w:cs="Arial"/>
          <w:sz w:val="20"/>
          <w:szCs w:val="20"/>
        </w:rPr>
        <w:t>Concern about these trends is a factor behind recently announced reforms to t</w:t>
      </w:r>
      <w:r w:rsidR="00DC3B65" w:rsidRPr="007637A1">
        <w:rPr>
          <w:rFonts w:ascii="Arial" w:hAnsi="Arial" w:cs="Arial"/>
          <w:sz w:val="20"/>
          <w:szCs w:val="20"/>
        </w:rPr>
        <w:t xml:space="preserve">he </w:t>
      </w:r>
      <w:r w:rsidR="005A5232" w:rsidRPr="007637A1">
        <w:rPr>
          <w:rFonts w:ascii="Arial" w:hAnsi="Arial" w:cs="Arial"/>
          <w:sz w:val="20"/>
          <w:szCs w:val="20"/>
        </w:rPr>
        <w:t>C</w:t>
      </w:r>
      <w:r w:rsidRPr="007637A1">
        <w:rPr>
          <w:rFonts w:ascii="Arial" w:hAnsi="Arial" w:cs="Arial"/>
          <w:sz w:val="20"/>
          <w:szCs w:val="20"/>
        </w:rPr>
        <w:t xml:space="preserve">anada </w:t>
      </w:r>
      <w:r w:rsidR="005A5232" w:rsidRPr="007637A1">
        <w:rPr>
          <w:rFonts w:ascii="Arial" w:hAnsi="Arial" w:cs="Arial"/>
          <w:sz w:val="20"/>
          <w:szCs w:val="20"/>
        </w:rPr>
        <w:t>P</w:t>
      </w:r>
      <w:r w:rsidRPr="007637A1">
        <w:rPr>
          <w:rFonts w:ascii="Arial" w:hAnsi="Arial" w:cs="Arial"/>
          <w:sz w:val="20"/>
          <w:szCs w:val="20"/>
        </w:rPr>
        <w:t xml:space="preserve">ension </w:t>
      </w:r>
      <w:r w:rsidR="005A5232" w:rsidRPr="007637A1">
        <w:rPr>
          <w:rFonts w:ascii="Arial" w:hAnsi="Arial" w:cs="Arial"/>
          <w:sz w:val="20"/>
          <w:szCs w:val="20"/>
        </w:rPr>
        <w:t>P</w:t>
      </w:r>
      <w:r w:rsidRPr="007637A1">
        <w:rPr>
          <w:rFonts w:ascii="Arial" w:hAnsi="Arial" w:cs="Arial"/>
          <w:sz w:val="20"/>
          <w:szCs w:val="20"/>
        </w:rPr>
        <w:t>lan</w:t>
      </w:r>
      <w:r w:rsidR="00DC3B65" w:rsidRPr="007637A1">
        <w:rPr>
          <w:rFonts w:ascii="Arial" w:hAnsi="Arial" w:cs="Arial"/>
          <w:sz w:val="20"/>
          <w:szCs w:val="20"/>
        </w:rPr>
        <w:t>.</w:t>
      </w:r>
      <w:r w:rsidR="005A5232" w:rsidRPr="007637A1">
        <w:rPr>
          <w:rFonts w:ascii="Arial" w:hAnsi="Arial" w:cs="Arial"/>
          <w:sz w:val="20"/>
          <w:szCs w:val="20"/>
        </w:rPr>
        <w:t xml:space="preserve"> </w:t>
      </w:r>
      <w:r w:rsidRPr="007637A1">
        <w:rPr>
          <w:rFonts w:ascii="Arial" w:hAnsi="Arial" w:cs="Arial"/>
          <w:sz w:val="20"/>
          <w:szCs w:val="20"/>
        </w:rPr>
        <w:t>It is also driving federal and</w:t>
      </w:r>
      <w:r w:rsidR="00DC3B65" w:rsidRPr="007637A1">
        <w:rPr>
          <w:rFonts w:ascii="Arial" w:hAnsi="Arial" w:cs="Arial"/>
          <w:sz w:val="20"/>
          <w:szCs w:val="20"/>
        </w:rPr>
        <w:t xml:space="preserve"> provincial </w:t>
      </w:r>
      <w:r w:rsidRPr="007637A1">
        <w:rPr>
          <w:rFonts w:ascii="Arial" w:hAnsi="Arial" w:cs="Arial"/>
          <w:sz w:val="20"/>
          <w:szCs w:val="20"/>
        </w:rPr>
        <w:t>efforts to</w:t>
      </w:r>
      <w:r w:rsidR="00DC3B65" w:rsidRPr="007637A1">
        <w:rPr>
          <w:rFonts w:ascii="Arial" w:hAnsi="Arial" w:cs="Arial"/>
          <w:sz w:val="20"/>
          <w:szCs w:val="20"/>
        </w:rPr>
        <w:t xml:space="preserve"> encourage </w:t>
      </w:r>
      <w:r w:rsidR="009D7EE0" w:rsidRPr="007637A1">
        <w:rPr>
          <w:rFonts w:ascii="Arial" w:hAnsi="Arial" w:cs="Arial"/>
          <w:sz w:val="20"/>
          <w:szCs w:val="20"/>
        </w:rPr>
        <w:t xml:space="preserve">more and better </w:t>
      </w:r>
      <w:r w:rsidRPr="007637A1">
        <w:rPr>
          <w:rFonts w:ascii="Arial" w:hAnsi="Arial" w:cs="Arial"/>
          <w:sz w:val="20"/>
          <w:szCs w:val="20"/>
        </w:rPr>
        <w:t xml:space="preserve">private sector pension </w:t>
      </w:r>
      <w:r w:rsidR="00DC3B65" w:rsidRPr="007637A1">
        <w:rPr>
          <w:rFonts w:ascii="Arial" w:hAnsi="Arial" w:cs="Arial"/>
          <w:sz w:val="20"/>
          <w:szCs w:val="20"/>
        </w:rPr>
        <w:t xml:space="preserve">coverage </w:t>
      </w:r>
      <w:r w:rsidR="009D7EE0" w:rsidRPr="007637A1">
        <w:rPr>
          <w:rFonts w:ascii="Arial" w:hAnsi="Arial" w:cs="Arial"/>
          <w:sz w:val="20"/>
          <w:szCs w:val="20"/>
        </w:rPr>
        <w:t>through regulatory reform</w:t>
      </w:r>
      <w:r w:rsidR="00DC3B65" w:rsidRPr="007637A1">
        <w:rPr>
          <w:rFonts w:ascii="Arial" w:hAnsi="Arial" w:cs="Arial"/>
          <w:sz w:val="20"/>
          <w:szCs w:val="20"/>
        </w:rPr>
        <w:t>.</w:t>
      </w:r>
      <w:r w:rsidR="009D7EE0" w:rsidRPr="007637A1">
        <w:rPr>
          <w:rFonts w:ascii="Arial" w:hAnsi="Arial" w:cs="Arial"/>
          <w:sz w:val="20"/>
          <w:szCs w:val="20"/>
        </w:rPr>
        <w:t xml:space="preserve"> </w:t>
      </w:r>
      <w:r w:rsidR="001D09DF" w:rsidRPr="007637A1">
        <w:rPr>
          <w:rFonts w:ascii="Arial" w:hAnsi="Arial" w:cs="Arial"/>
          <w:sz w:val="20"/>
          <w:szCs w:val="20"/>
        </w:rPr>
        <w:t>While most public sector plans are still defined benefit plans,</w:t>
      </w:r>
      <w:r w:rsidR="00A00910" w:rsidRPr="007637A1">
        <w:rPr>
          <w:rFonts w:ascii="Arial" w:hAnsi="Arial" w:cs="Arial"/>
          <w:sz w:val="20"/>
          <w:szCs w:val="20"/>
        </w:rPr>
        <w:t xml:space="preserve"> </w:t>
      </w:r>
      <w:r w:rsidR="001D09DF" w:rsidRPr="007637A1">
        <w:rPr>
          <w:rFonts w:ascii="Arial" w:hAnsi="Arial" w:cs="Arial"/>
          <w:sz w:val="20"/>
          <w:szCs w:val="20"/>
        </w:rPr>
        <w:t xml:space="preserve">governments have moved to address </w:t>
      </w:r>
      <w:r w:rsidR="000C7ABE" w:rsidRPr="007637A1">
        <w:rPr>
          <w:rFonts w:ascii="Arial" w:hAnsi="Arial" w:cs="Arial"/>
          <w:sz w:val="20"/>
          <w:szCs w:val="20"/>
        </w:rPr>
        <w:t xml:space="preserve">any </w:t>
      </w:r>
      <w:r w:rsidR="001D09DF" w:rsidRPr="007637A1">
        <w:rPr>
          <w:rFonts w:ascii="Arial" w:hAnsi="Arial" w:cs="Arial"/>
          <w:sz w:val="20"/>
          <w:szCs w:val="20"/>
        </w:rPr>
        <w:t>unfunded pension liabilities and reform</w:t>
      </w:r>
      <w:r w:rsidR="00A00910" w:rsidRPr="007637A1">
        <w:rPr>
          <w:rFonts w:ascii="Arial" w:hAnsi="Arial" w:cs="Arial"/>
          <w:sz w:val="20"/>
          <w:szCs w:val="20"/>
        </w:rPr>
        <w:t xml:space="preserve"> </w:t>
      </w:r>
      <w:r w:rsidR="007637A1">
        <w:rPr>
          <w:rFonts w:ascii="Arial" w:hAnsi="Arial" w:cs="Arial"/>
          <w:sz w:val="20"/>
          <w:szCs w:val="20"/>
        </w:rPr>
        <w:t xml:space="preserve">plans </w:t>
      </w:r>
      <w:r w:rsidR="001D09DF" w:rsidRPr="007637A1">
        <w:rPr>
          <w:rFonts w:ascii="Arial" w:hAnsi="Arial" w:cs="Arial"/>
          <w:sz w:val="20"/>
          <w:szCs w:val="20"/>
        </w:rPr>
        <w:t>to ensure lo</w:t>
      </w:r>
      <w:r w:rsidR="000C7ABE" w:rsidRPr="007637A1">
        <w:rPr>
          <w:rFonts w:ascii="Arial" w:hAnsi="Arial" w:cs="Arial"/>
          <w:sz w:val="20"/>
          <w:szCs w:val="20"/>
        </w:rPr>
        <w:t>ng term financial sustainability</w:t>
      </w:r>
      <w:r w:rsidR="001D09DF" w:rsidRPr="007637A1">
        <w:rPr>
          <w:rFonts w:ascii="Arial" w:hAnsi="Arial" w:cs="Arial"/>
          <w:sz w:val="20"/>
          <w:szCs w:val="20"/>
        </w:rPr>
        <w:t>.</w:t>
      </w:r>
    </w:p>
    <w:p w:rsidR="00A10E54" w:rsidRPr="00CE6670" w:rsidRDefault="00B7116C" w:rsidP="00B7116C">
      <w:pPr>
        <w:rPr>
          <w:rFonts w:ascii="Arial" w:hAnsi="Arial" w:cs="Arial"/>
          <w:b/>
          <w:sz w:val="24"/>
          <w:szCs w:val="24"/>
        </w:rPr>
      </w:pPr>
      <w:r w:rsidRPr="00CE6670">
        <w:rPr>
          <w:rFonts w:ascii="Arial" w:hAnsi="Arial" w:cs="Arial"/>
          <w:b/>
          <w:sz w:val="24"/>
          <w:szCs w:val="24"/>
        </w:rPr>
        <w:t>P</w:t>
      </w:r>
      <w:r w:rsidR="00A10E54" w:rsidRPr="00CE6670">
        <w:rPr>
          <w:rFonts w:ascii="Arial" w:hAnsi="Arial" w:cs="Arial"/>
          <w:b/>
          <w:sz w:val="24"/>
          <w:szCs w:val="24"/>
        </w:rPr>
        <w:t xml:space="preserve">ublic </w:t>
      </w:r>
      <w:r w:rsidR="005C24D6" w:rsidRPr="00CE6670">
        <w:rPr>
          <w:rFonts w:ascii="Arial" w:hAnsi="Arial" w:cs="Arial"/>
          <w:b/>
          <w:sz w:val="24"/>
          <w:szCs w:val="24"/>
        </w:rPr>
        <w:t>S</w:t>
      </w:r>
      <w:r w:rsidR="00A10E54" w:rsidRPr="00CE6670">
        <w:rPr>
          <w:rFonts w:ascii="Arial" w:hAnsi="Arial" w:cs="Arial"/>
          <w:b/>
          <w:sz w:val="24"/>
          <w:szCs w:val="24"/>
        </w:rPr>
        <w:t xml:space="preserve">ector </w:t>
      </w:r>
      <w:r w:rsidR="005C24D6" w:rsidRPr="00CE6670">
        <w:rPr>
          <w:rFonts w:ascii="Arial" w:hAnsi="Arial" w:cs="Arial"/>
          <w:b/>
          <w:sz w:val="24"/>
          <w:szCs w:val="24"/>
        </w:rPr>
        <w:t>Pension Plans</w:t>
      </w:r>
    </w:p>
    <w:p w:rsidR="004E0507" w:rsidRPr="00CE6670" w:rsidRDefault="004E0507" w:rsidP="004E0507">
      <w:pPr>
        <w:rPr>
          <w:rFonts w:ascii="Arial" w:hAnsi="Arial" w:cs="Arial"/>
          <w:sz w:val="20"/>
          <w:szCs w:val="20"/>
        </w:rPr>
      </w:pPr>
      <w:r>
        <w:rPr>
          <w:rFonts w:ascii="Arial" w:hAnsi="Arial" w:cs="Arial"/>
          <w:sz w:val="20"/>
          <w:szCs w:val="20"/>
        </w:rPr>
        <w:t xml:space="preserve">Overall, Canada’s public sector pension plans </w:t>
      </w:r>
      <w:r w:rsidRPr="006D25A2">
        <w:rPr>
          <w:rFonts w:ascii="Arial" w:hAnsi="Arial" w:cs="Arial"/>
          <w:sz w:val="20"/>
          <w:szCs w:val="20"/>
        </w:rPr>
        <w:t>appear to be well funded by international standards. A 2016 report from Moody’s Investor Services cites Canada as having the lowest unfunded liability burden for its government employee pensions among developed countries. (Kennedy 2016). Moody’s “preferred metric for making international comparisons is the total of all public sector pension plan unfunded liabilities in a country divided by its gross domestic product.” (Ibid.)</w:t>
      </w:r>
      <w:r>
        <w:t xml:space="preserve"> </w:t>
      </w:r>
    </w:p>
    <w:p w:rsidR="00291C25" w:rsidRDefault="00EE3CE2" w:rsidP="00ED3805">
      <w:pPr>
        <w:rPr>
          <w:rFonts w:ascii="Arial" w:hAnsi="Arial" w:cs="Arial"/>
          <w:sz w:val="20"/>
          <w:szCs w:val="20"/>
        </w:rPr>
      </w:pPr>
      <w:r w:rsidRPr="00CE6670">
        <w:rPr>
          <w:rFonts w:ascii="Arial" w:hAnsi="Arial" w:cs="Arial"/>
          <w:sz w:val="20"/>
          <w:szCs w:val="20"/>
        </w:rPr>
        <w:t xml:space="preserve">The biggest changes </w:t>
      </w:r>
      <w:r w:rsidR="004E277E" w:rsidRPr="00CE6670">
        <w:rPr>
          <w:rFonts w:ascii="Arial" w:hAnsi="Arial" w:cs="Arial"/>
          <w:sz w:val="20"/>
          <w:szCs w:val="20"/>
        </w:rPr>
        <w:t xml:space="preserve">to public sector plans </w:t>
      </w:r>
      <w:r w:rsidRPr="00CE6670">
        <w:rPr>
          <w:rFonts w:ascii="Arial" w:hAnsi="Arial" w:cs="Arial"/>
          <w:sz w:val="20"/>
          <w:szCs w:val="20"/>
        </w:rPr>
        <w:t>in recent years have occurred in the Maritimes where all four provincial governments have paid down liabilities and introduced comprehensive reforms to their public service pension plans</w:t>
      </w:r>
      <w:r w:rsidR="002D291E" w:rsidRPr="00CE6670">
        <w:rPr>
          <w:rFonts w:ascii="Arial" w:hAnsi="Arial" w:cs="Arial"/>
          <w:sz w:val="20"/>
          <w:szCs w:val="20"/>
        </w:rPr>
        <w:t xml:space="preserve"> since 2008</w:t>
      </w:r>
      <w:r w:rsidRPr="00CE6670">
        <w:rPr>
          <w:rFonts w:ascii="Arial" w:hAnsi="Arial" w:cs="Arial"/>
          <w:sz w:val="20"/>
          <w:szCs w:val="20"/>
        </w:rPr>
        <w:t xml:space="preserve">. With the exception of Saskatchewan which introduced a defined contribution (DC) plan in 1977, </w:t>
      </w:r>
      <w:r w:rsidR="00764417">
        <w:rPr>
          <w:rFonts w:ascii="Arial" w:hAnsi="Arial" w:cs="Arial"/>
          <w:sz w:val="20"/>
          <w:szCs w:val="20"/>
        </w:rPr>
        <w:t xml:space="preserve">public service pension </w:t>
      </w:r>
      <w:r w:rsidRPr="00CE6670">
        <w:rPr>
          <w:rFonts w:ascii="Arial" w:hAnsi="Arial" w:cs="Arial"/>
          <w:sz w:val="20"/>
          <w:szCs w:val="20"/>
        </w:rPr>
        <w:t xml:space="preserve">plans in most other provinces </w:t>
      </w:r>
      <w:r w:rsidR="009B2F01">
        <w:rPr>
          <w:rFonts w:ascii="Arial" w:hAnsi="Arial" w:cs="Arial"/>
          <w:sz w:val="20"/>
          <w:szCs w:val="20"/>
        </w:rPr>
        <w:t xml:space="preserve">appear </w:t>
      </w:r>
      <w:r w:rsidR="005635A1">
        <w:rPr>
          <w:rFonts w:ascii="Arial" w:hAnsi="Arial" w:cs="Arial"/>
          <w:sz w:val="20"/>
          <w:szCs w:val="20"/>
        </w:rPr>
        <w:t xml:space="preserve">to </w:t>
      </w:r>
      <w:r w:rsidRPr="00CE6670">
        <w:rPr>
          <w:rFonts w:ascii="Arial" w:hAnsi="Arial" w:cs="Arial"/>
          <w:sz w:val="20"/>
          <w:szCs w:val="20"/>
        </w:rPr>
        <w:t>have evolved more slowly over a longer period of time.</w:t>
      </w:r>
      <w:r w:rsidR="00083EF8" w:rsidRPr="00CE6670">
        <w:rPr>
          <w:rFonts w:ascii="Arial" w:hAnsi="Arial" w:cs="Arial"/>
          <w:sz w:val="20"/>
          <w:szCs w:val="20"/>
        </w:rPr>
        <w:t xml:space="preserve"> </w:t>
      </w:r>
    </w:p>
    <w:p w:rsidR="00224645" w:rsidRPr="00CE6670" w:rsidRDefault="00224645" w:rsidP="00224645">
      <w:pPr>
        <w:rPr>
          <w:rFonts w:ascii="Arial" w:hAnsi="Arial" w:cs="Arial"/>
          <w:sz w:val="20"/>
          <w:szCs w:val="20"/>
        </w:rPr>
      </w:pPr>
      <w:r w:rsidRPr="000C7ABE">
        <w:rPr>
          <w:rFonts w:ascii="Arial" w:hAnsi="Arial" w:cs="Arial"/>
          <w:b/>
          <w:i/>
          <w:sz w:val="20"/>
          <w:szCs w:val="20"/>
        </w:rPr>
        <w:t xml:space="preserve">Public service pension plans in British Columbia, Alberta, Manitoba, Ontario, Quebec, Prince Edward Island and Newfoundland and Labrador </w:t>
      </w:r>
      <w:r w:rsidR="00A52C02" w:rsidRPr="000C7ABE">
        <w:rPr>
          <w:rFonts w:ascii="Arial" w:hAnsi="Arial" w:cs="Arial"/>
          <w:b/>
          <w:i/>
          <w:sz w:val="20"/>
          <w:szCs w:val="20"/>
        </w:rPr>
        <w:t>remain</w:t>
      </w:r>
      <w:r w:rsidRPr="000C7ABE">
        <w:rPr>
          <w:rFonts w:ascii="Arial" w:hAnsi="Arial" w:cs="Arial"/>
          <w:b/>
          <w:i/>
          <w:sz w:val="20"/>
          <w:szCs w:val="20"/>
        </w:rPr>
        <w:t xml:space="preserve"> defined benefit (DB) plans, as </w:t>
      </w:r>
      <w:r w:rsidR="00A52C02" w:rsidRPr="000C7ABE">
        <w:rPr>
          <w:rFonts w:ascii="Arial" w:hAnsi="Arial" w:cs="Arial"/>
          <w:b/>
          <w:i/>
          <w:sz w:val="20"/>
          <w:szCs w:val="20"/>
        </w:rPr>
        <w:t>does</w:t>
      </w:r>
      <w:r w:rsidRPr="000C7ABE">
        <w:rPr>
          <w:rFonts w:ascii="Arial" w:hAnsi="Arial" w:cs="Arial"/>
          <w:b/>
          <w:i/>
          <w:sz w:val="20"/>
          <w:szCs w:val="20"/>
        </w:rPr>
        <w:t xml:space="preserve"> the federal government </w:t>
      </w:r>
      <w:r w:rsidR="003C2B30" w:rsidRPr="000C7ABE">
        <w:rPr>
          <w:rFonts w:ascii="Arial" w:hAnsi="Arial" w:cs="Arial"/>
          <w:b/>
          <w:i/>
          <w:sz w:val="20"/>
          <w:szCs w:val="20"/>
        </w:rPr>
        <w:t xml:space="preserve">public service </w:t>
      </w:r>
      <w:r w:rsidRPr="000C7ABE">
        <w:rPr>
          <w:rFonts w:ascii="Arial" w:hAnsi="Arial" w:cs="Arial"/>
          <w:b/>
          <w:i/>
          <w:sz w:val="20"/>
          <w:szCs w:val="20"/>
        </w:rPr>
        <w:t>plan</w:t>
      </w:r>
      <w:r w:rsidR="00CD264B" w:rsidRPr="000C7ABE">
        <w:rPr>
          <w:rFonts w:ascii="Arial" w:hAnsi="Arial" w:cs="Arial"/>
          <w:b/>
          <w:i/>
          <w:sz w:val="20"/>
          <w:szCs w:val="20"/>
        </w:rPr>
        <w:t>.</w:t>
      </w:r>
      <w:r w:rsidR="00CD264B" w:rsidRPr="000C7ABE">
        <w:rPr>
          <w:rFonts w:ascii="Arial" w:hAnsi="Arial" w:cs="Arial"/>
          <w:sz w:val="20"/>
          <w:szCs w:val="20"/>
        </w:rPr>
        <w:t xml:space="preserve"> </w:t>
      </w:r>
      <w:r w:rsidR="0099370D" w:rsidRPr="000C7ABE">
        <w:rPr>
          <w:rFonts w:ascii="Arial" w:hAnsi="Arial" w:cs="Arial"/>
          <w:sz w:val="20"/>
          <w:szCs w:val="20"/>
        </w:rPr>
        <w:t xml:space="preserve">All of these defined benefit plans have </w:t>
      </w:r>
      <w:r w:rsidR="00F66C61" w:rsidRPr="000C7ABE">
        <w:rPr>
          <w:rFonts w:ascii="Arial" w:hAnsi="Arial" w:cs="Arial"/>
          <w:sz w:val="20"/>
          <w:szCs w:val="20"/>
        </w:rPr>
        <w:t>instituted</w:t>
      </w:r>
      <w:r w:rsidR="0099370D" w:rsidRPr="000C7ABE">
        <w:rPr>
          <w:rFonts w:ascii="Arial" w:hAnsi="Arial" w:cs="Arial"/>
          <w:sz w:val="20"/>
          <w:szCs w:val="20"/>
        </w:rPr>
        <w:t xml:space="preserve"> reforms</w:t>
      </w:r>
      <w:r w:rsidR="00B20DE9" w:rsidRPr="000C7ABE">
        <w:rPr>
          <w:rFonts w:ascii="Arial" w:hAnsi="Arial" w:cs="Arial"/>
          <w:sz w:val="20"/>
          <w:szCs w:val="20"/>
        </w:rPr>
        <w:t xml:space="preserve"> </w:t>
      </w:r>
      <w:r w:rsidR="004E0507">
        <w:rPr>
          <w:rFonts w:ascii="Arial" w:hAnsi="Arial" w:cs="Arial"/>
          <w:sz w:val="20"/>
          <w:szCs w:val="20"/>
        </w:rPr>
        <w:t xml:space="preserve">over time </w:t>
      </w:r>
      <w:r w:rsidR="006D25A2" w:rsidRPr="000C7ABE">
        <w:rPr>
          <w:rFonts w:ascii="Arial" w:hAnsi="Arial" w:cs="Arial"/>
          <w:sz w:val="20"/>
          <w:szCs w:val="20"/>
        </w:rPr>
        <w:t>to ensure</w:t>
      </w:r>
      <w:r w:rsidR="00B20DE9" w:rsidRPr="000C7ABE">
        <w:rPr>
          <w:rFonts w:ascii="Arial" w:hAnsi="Arial" w:cs="Arial"/>
          <w:sz w:val="20"/>
          <w:szCs w:val="20"/>
        </w:rPr>
        <w:t xml:space="preserve"> sustainability and protect</w:t>
      </w:r>
      <w:r w:rsidR="006D25A2" w:rsidRPr="000C7ABE">
        <w:rPr>
          <w:rFonts w:ascii="Arial" w:hAnsi="Arial" w:cs="Arial"/>
          <w:sz w:val="20"/>
          <w:szCs w:val="20"/>
        </w:rPr>
        <w:t xml:space="preserve"> defined</w:t>
      </w:r>
      <w:r w:rsidR="00B20DE9" w:rsidRPr="000C7ABE">
        <w:rPr>
          <w:rFonts w:ascii="Arial" w:hAnsi="Arial" w:cs="Arial"/>
          <w:sz w:val="20"/>
          <w:szCs w:val="20"/>
        </w:rPr>
        <w:t xml:space="preserve"> benefits</w:t>
      </w:r>
      <w:r w:rsidR="006D25A2" w:rsidRPr="000C7ABE">
        <w:rPr>
          <w:rFonts w:ascii="Arial" w:hAnsi="Arial" w:cs="Arial"/>
          <w:sz w:val="20"/>
          <w:szCs w:val="20"/>
        </w:rPr>
        <w:t xml:space="preserve"> for their members</w:t>
      </w:r>
      <w:r w:rsidR="00B20DE9" w:rsidRPr="000C7ABE">
        <w:rPr>
          <w:rFonts w:ascii="Arial" w:hAnsi="Arial" w:cs="Arial"/>
          <w:sz w:val="20"/>
          <w:szCs w:val="20"/>
        </w:rPr>
        <w:t>.</w:t>
      </w:r>
    </w:p>
    <w:p w:rsidR="005A7FEA" w:rsidRPr="00CE6670" w:rsidRDefault="001D09DF" w:rsidP="005A7FEA">
      <w:pPr>
        <w:rPr>
          <w:rFonts w:ascii="Arial" w:hAnsi="Arial" w:cs="Arial"/>
          <w:sz w:val="20"/>
          <w:szCs w:val="20"/>
        </w:rPr>
      </w:pPr>
      <w:r>
        <w:rPr>
          <w:rFonts w:ascii="Arial" w:hAnsi="Arial" w:cs="Arial"/>
          <w:sz w:val="20"/>
          <w:szCs w:val="20"/>
        </w:rPr>
        <w:t>M</w:t>
      </w:r>
      <w:r w:rsidR="00A00910">
        <w:rPr>
          <w:rFonts w:ascii="Arial" w:hAnsi="Arial" w:cs="Arial"/>
          <w:sz w:val="20"/>
          <w:szCs w:val="20"/>
        </w:rPr>
        <w:t xml:space="preserve">any of the </w:t>
      </w:r>
      <w:r w:rsidR="00A00910">
        <w:rPr>
          <w:rFonts w:ascii="Arial" w:hAnsi="Arial" w:cs="Arial"/>
          <w:color w:val="000000" w:themeColor="text1"/>
          <w:sz w:val="20"/>
          <w:szCs w:val="20"/>
        </w:rPr>
        <w:t>reforms</w:t>
      </w:r>
      <w:r w:rsidR="00554841" w:rsidRPr="00CE6670">
        <w:rPr>
          <w:rFonts w:ascii="Arial" w:hAnsi="Arial" w:cs="Arial"/>
          <w:color w:val="000000" w:themeColor="text1"/>
          <w:sz w:val="20"/>
          <w:szCs w:val="20"/>
        </w:rPr>
        <w:t xml:space="preserve"> to public sector pension plans have focused on changes in governance, risk sharing and plan design. Canadian public sector plans have also pioneered new approaches to institutional investing. (Kennedy 2016) </w:t>
      </w:r>
      <w:r w:rsidR="00D7095C">
        <w:rPr>
          <w:rFonts w:ascii="Arial" w:hAnsi="Arial" w:cs="Arial"/>
          <w:color w:val="000000" w:themeColor="text1"/>
          <w:sz w:val="20"/>
          <w:szCs w:val="20"/>
        </w:rPr>
        <w:t xml:space="preserve">These kinds of changes are especially important because benefits in a well run </w:t>
      </w:r>
      <w:r w:rsidR="00D7095C">
        <w:rPr>
          <w:rFonts w:ascii="Arial" w:hAnsi="Arial" w:cs="Arial"/>
          <w:color w:val="000000" w:themeColor="text1"/>
          <w:sz w:val="20"/>
          <w:szCs w:val="20"/>
        </w:rPr>
        <w:lastRenderedPageBreak/>
        <w:t xml:space="preserve">plan </w:t>
      </w:r>
      <w:r w:rsidR="00642DE5">
        <w:rPr>
          <w:rFonts w:ascii="Arial" w:hAnsi="Arial" w:cs="Arial"/>
          <w:color w:val="000000" w:themeColor="text1"/>
          <w:sz w:val="20"/>
          <w:szCs w:val="20"/>
        </w:rPr>
        <w:t xml:space="preserve">are largely paid </w:t>
      </w:r>
      <w:r w:rsidR="00D7095C">
        <w:rPr>
          <w:rFonts w:ascii="Arial" w:hAnsi="Arial" w:cs="Arial"/>
          <w:color w:val="000000" w:themeColor="text1"/>
          <w:sz w:val="20"/>
          <w:szCs w:val="20"/>
        </w:rPr>
        <w:t>from investment earnings</w:t>
      </w:r>
      <w:r w:rsidR="00642DE5">
        <w:rPr>
          <w:rFonts w:ascii="Arial" w:hAnsi="Arial" w:cs="Arial"/>
          <w:color w:val="000000" w:themeColor="text1"/>
          <w:sz w:val="20"/>
          <w:szCs w:val="20"/>
        </w:rPr>
        <w:t xml:space="preserve"> (e.g.</w:t>
      </w:r>
      <w:r w:rsidR="00D7095C">
        <w:rPr>
          <w:rFonts w:ascii="Arial" w:hAnsi="Arial" w:cs="Arial"/>
          <w:color w:val="000000" w:themeColor="text1"/>
          <w:sz w:val="20"/>
          <w:szCs w:val="20"/>
        </w:rPr>
        <w:t xml:space="preserve"> </w:t>
      </w:r>
      <w:r w:rsidR="00642DE5">
        <w:rPr>
          <w:rFonts w:ascii="Arial" w:hAnsi="Arial" w:cs="Arial"/>
          <w:color w:val="000000" w:themeColor="text1"/>
          <w:sz w:val="20"/>
          <w:szCs w:val="20"/>
        </w:rPr>
        <w:t xml:space="preserve">earnings fund </w:t>
      </w:r>
      <w:r w:rsidR="00D7095C">
        <w:rPr>
          <w:rFonts w:ascii="Arial" w:hAnsi="Arial" w:cs="Arial"/>
          <w:color w:val="000000" w:themeColor="text1"/>
          <w:sz w:val="20"/>
          <w:szCs w:val="20"/>
        </w:rPr>
        <w:t xml:space="preserve">75% of benefits in the BC Public </w:t>
      </w:r>
      <w:r w:rsidR="00642DE5">
        <w:rPr>
          <w:rFonts w:ascii="Arial" w:hAnsi="Arial" w:cs="Arial"/>
          <w:color w:val="000000" w:themeColor="text1"/>
          <w:sz w:val="20"/>
          <w:szCs w:val="20"/>
        </w:rPr>
        <w:t>Service Pension Plan)</w:t>
      </w:r>
      <w:r w:rsidR="00D7095C">
        <w:rPr>
          <w:rFonts w:ascii="Arial" w:hAnsi="Arial" w:cs="Arial"/>
          <w:color w:val="000000" w:themeColor="text1"/>
          <w:sz w:val="20"/>
          <w:szCs w:val="20"/>
        </w:rPr>
        <w:t xml:space="preserve">. (BC PSP Board of Trustees 2015, p.1) </w:t>
      </w:r>
      <w:r w:rsidR="004B468F" w:rsidRPr="00CE6670">
        <w:rPr>
          <w:rFonts w:ascii="Arial" w:hAnsi="Arial" w:cs="Arial"/>
          <w:sz w:val="20"/>
          <w:szCs w:val="20"/>
        </w:rPr>
        <w:t>Following are some types of c</w:t>
      </w:r>
      <w:r w:rsidR="005A7FEA" w:rsidRPr="00CE6670">
        <w:rPr>
          <w:rFonts w:ascii="Arial" w:hAnsi="Arial" w:cs="Arial"/>
          <w:sz w:val="20"/>
          <w:szCs w:val="20"/>
        </w:rPr>
        <w:t xml:space="preserve">hanges </w:t>
      </w:r>
      <w:r w:rsidR="00F60439" w:rsidRPr="00CE6670">
        <w:rPr>
          <w:rFonts w:ascii="Arial" w:hAnsi="Arial" w:cs="Arial"/>
          <w:sz w:val="20"/>
          <w:szCs w:val="20"/>
        </w:rPr>
        <w:t xml:space="preserve">that have been </w:t>
      </w:r>
      <w:r w:rsidR="005A7FEA" w:rsidRPr="00CE6670">
        <w:rPr>
          <w:rFonts w:ascii="Arial" w:hAnsi="Arial" w:cs="Arial"/>
          <w:sz w:val="20"/>
          <w:szCs w:val="20"/>
        </w:rPr>
        <w:t>made</w:t>
      </w:r>
      <w:r w:rsidR="00783234" w:rsidRPr="00CE6670">
        <w:rPr>
          <w:rFonts w:ascii="Arial" w:hAnsi="Arial" w:cs="Arial"/>
          <w:sz w:val="20"/>
          <w:szCs w:val="20"/>
        </w:rPr>
        <w:t>:</w:t>
      </w:r>
    </w:p>
    <w:p w:rsidR="0026529F" w:rsidRPr="000C7ABE" w:rsidRDefault="00F60439" w:rsidP="007C2747">
      <w:pPr>
        <w:pStyle w:val="ListParagraph"/>
        <w:numPr>
          <w:ilvl w:val="0"/>
          <w:numId w:val="8"/>
        </w:numPr>
        <w:spacing w:after="240"/>
        <w:ind w:left="714" w:hanging="357"/>
        <w:rPr>
          <w:rFonts w:ascii="Arial" w:hAnsi="Arial" w:cs="Arial"/>
          <w:sz w:val="20"/>
          <w:szCs w:val="20"/>
        </w:rPr>
      </w:pPr>
      <w:r w:rsidRPr="00CE6670">
        <w:rPr>
          <w:rFonts w:ascii="Arial" w:hAnsi="Arial" w:cs="Arial"/>
          <w:sz w:val="20"/>
          <w:szCs w:val="20"/>
        </w:rPr>
        <w:t>Some plans have negotiated j</w:t>
      </w:r>
      <w:r w:rsidR="005A7FEA" w:rsidRPr="00CE6670">
        <w:rPr>
          <w:rFonts w:ascii="Arial" w:hAnsi="Arial" w:cs="Arial"/>
          <w:sz w:val="20"/>
          <w:szCs w:val="20"/>
        </w:rPr>
        <w:t>oint sponsorship arrangements</w:t>
      </w:r>
      <w:r w:rsidR="0033194C" w:rsidRPr="00CE6670">
        <w:rPr>
          <w:rFonts w:ascii="Arial" w:hAnsi="Arial" w:cs="Arial"/>
          <w:sz w:val="20"/>
          <w:szCs w:val="20"/>
        </w:rPr>
        <w:t xml:space="preserve"> in which government and members (through their unions) share both governance and funding risks</w:t>
      </w:r>
      <w:r w:rsidR="005A7FEA" w:rsidRPr="00CE6670">
        <w:rPr>
          <w:rFonts w:ascii="Arial" w:hAnsi="Arial" w:cs="Arial"/>
          <w:sz w:val="20"/>
          <w:szCs w:val="20"/>
        </w:rPr>
        <w:t xml:space="preserve">. </w:t>
      </w:r>
      <w:r w:rsidR="0033194C" w:rsidRPr="00CE6670">
        <w:rPr>
          <w:rFonts w:ascii="Arial" w:hAnsi="Arial" w:cs="Arial"/>
          <w:sz w:val="20"/>
          <w:szCs w:val="20"/>
        </w:rPr>
        <w:t xml:space="preserve">The Ontario Public Service Employees Union plan, </w:t>
      </w:r>
      <w:r w:rsidR="005A7FEA" w:rsidRPr="00CE6670">
        <w:rPr>
          <w:rFonts w:ascii="Arial" w:hAnsi="Arial" w:cs="Arial"/>
          <w:sz w:val="20"/>
          <w:szCs w:val="20"/>
        </w:rPr>
        <w:t xml:space="preserve">BC’s Public Service Pension Plan, and the Newfoundland and Labrador Public Service Pension Plan </w:t>
      </w:r>
      <w:r w:rsidR="0033194C" w:rsidRPr="00CE6670">
        <w:rPr>
          <w:rFonts w:ascii="Arial" w:hAnsi="Arial" w:cs="Arial"/>
          <w:sz w:val="20"/>
          <w:szCs w:val="20"/>
        </w:rPr>
        <w:t>have been joint</w:t>
      </w:r>
      <w:r w:rsidR="005A7FEA" w:rsidRPr="00CE6670">
        <w:rPr>
          <w:rFonts w:ascii="Arial" w:hAnsi="Arial" w:cs="Arial"/>
          <w:sz w:val="20"/>
          <w:szCs w:val="20"/>
        </w:rPr>
        <w:t>ly sponsored plans since 1994</w:t>
      </w:r>
      <w:r w:rsidR="0033194C" w:rsidRPr="00CE6670">
        <w:rPr>
          <w:rFonts w:ascii="Arial" w:hAnsi="Arial" w:cs="Arial"/>
          <w:sz w:val="20"/>
          <w:szCs w:val="20"/>
        </w:rPr>
        <w:t>, 2000</w:t>
      </w:r>
      <w:r w:rsidR="005A7FEA" w:rsidRPr="00CE6670">
        <w:rPr>
          <w:rFonts w:ascii="Arial" w:hAnsi="Arial" w:cs="Arial"/>
          <w:sz w:val="20"/>
          <w:szCs w:val="20"/>
        </w:rPr>
        <w:t xml:space="preserve"> and 2014 </w:t>
      </w:r>
      <w:r w:rsidR="005A7FEA" w:rsidRPr="000C7ABE">
        <w:rPr>
          <w:rFonts w:ascii="Arial" w:hAnsi="Arial" w:cs="Arial"/>
          <w:sz w:val="20"/>
          <w:szCs w:val="20"/>
        </w:rPr>
        <w:t>respectively.</w:t>
      </w:r>
      <w:r w:rsidR="0026529F" w:rsidRPr="000C7ABE">
        <w:rPr>
          <w:rFonts w:ascii="Arial" w:hAnsi="Arial" w:cs="Arial"/>
          <w:sz w:val="20"/>
          <w:szCs w:val="20"/>
        </w:rPr>
        <w:t xml:space="preserve"> Most other public sector plans in Ontario are also jointly sponsored.</w:t>
      </w:r>
    </w:p>
    <w:p w:rsidR="00833235" w:rsidRPr="000C7ABE" w:rsidRDefault="00053E5D" w:rsidP="007C2747">
      <w:pPr>
        <w:pStyle w:val="ListParagraph"/>
        <w:numPr>
          <w:ilvl w:val="0"/>
          <w:numId w:val="8"/>
        </w:numPr>
        <w:spacing w:after="240"/>
        <w:ind w:left="714" w:hanging="357"/>
        <w:rPr>
          <w:rFonts w:ascii="Arial" w:hAnsi="Arial" w:cs="Arial"/>
          <w:sz w:val="20"/>
          <w:szCs w:val="20"/>
        </w:rPr>
      </w:pPr>
      <w:r w:rsidRPr="000C7ABE">
        <w:rPr>
          <w:rFonts w:ascii="Arial" w:hAnsi="Arial" w:cs="Arial"/>
          <w:sz w:val="20"/>
          <w:szCs w:val="20"/>
        </w:rPr>
        <w:t>Improving governance is an important focus in pension reform</w:t>
      </w:r>
      <w:r w:rsidR="007A66F2" w:rsidRPr="000C7ABE">
        <w:rPr>
          <w:rFonts w:ascii="Arial" w:hAnsi="Arial" w:cs="Arial"/>
          <w:sz w:val="20"/>
          <w:szCs w:val="20"/>
        </w:rPr>
        <w:t>.</w:t>
      </w:r>
      <w:r w:rsidR="003C2B30" w:rsidRPr="000C7ABE">
        <w:rPr>
          <w:rFonts w:ascii="Arial" w:hAnsi="Arial" w:cs="Arial"/>
          <w:sz w:val="20"/>
          <w:szCs w:val="20"/>
        </w:rPr>
        <w:t xml:space="preserve"> </w:t>
      </w:r>
      <w:r w:rsidR="003C2B30" w:rsidRPr="000C7ABE">
        <w:rPr>
          <w:rFonts w:ascii="Arial" w:hAnsi="Arial" w:cs="Arial"/>
          <w:color w:val="000000" w:themeColor="text1"/>
          <w:sz w:val="20"/>
          <w:szCs w:val="20"/>
        </w:rPr>
        <w:t>Governance can be defined as ”</w:t>
      </w:r>
      <w:r w:rsidR="003C2B30" w:rsidRPr="000C7ABE">
        <w:rPr>
          <w:rFonts w:ascii="Arial" w:eastAsia="Times New Roman" w:hAnsi="Arial" w:cs="Arial"/>
          <w:color w:val="000000" w:themeColor="text1"/>
          <w:sz w:val="20"/>
          <w:szCs w:val="20"/>
          <w:lang w:eastAsia="en-CA"/>
        </w:rPr>
        <w:t xml:space="preserve">the structure and processes for overseeing, managing and administering a pension plan to ensure the fiduciary and other obligations of the plan are met. (CAPSA 2004) </w:t>
      </w:r>
      <w:r w:rsidR="007A66F2" w:rsidRPr="000C7ABE">
        <w:rPr>
          <w:rFonts w:ascii="Arial" w:hAnsi="Arial" w:cs="Arial"/>
          <w:sz w:val="20"/>
          <w:szCs w:val="20"/>
        </w:rPr>
        <w:t>Increasingly legislation and regulation prescribe minimum governance requirements for all pension plans. (</w:t>
      </w:r>
      <w:proofErr w:type="spellStart"/>
      <w:r w:rsidR="007A66F2" w:rsidRPr="000C7ABE">
        <w:rPr>
          <w:rFonts w:ascii="Arial" w:hAnsi="Arial" w:cs="Arial"/>
          <w:sz w:val="20"/>
          <w:szCs w:val="20"/>
        </w:rPr>
        <w:t>Himmelsbach</w:t>
      </w:r>
      <w:proofErr w:type="spellEnd"/>
      <w:r w:rsidR="007A66F2" w:rsidRPr="000C7ABE">
        <w:rPr>
          <w:rFonts w:ascii="Arial" w:hAnsi="Arial" w:cs="Arial"/>
          <w:sz w:val="20"/>
          <w:szCs w:val="20"/>
        </w:rPr>
        <w:t xml:space="preserve"> 2016)</w:t>
      </w:r>
    </w:p>
    <w:p w:rsidR="001A7F0C" w:rsidRPr="000C7ABE" w:rsidRDefault="001A7F0C" w:rsidP="00697F04">
      <w:pPr>
        <w:pStyle w:val="ListParagraph"/>
        <w:numPr>
          <w:ilvl w:val="0"/>
          <w:numId w:val="8"/>
        </w:numPr>
        <w:spacing w:before="100" w:beforeAutospacing="1" w:after="240" w:line="240" w:lineRule="auto"/>
        <w:ind w:left="714" w:hanging="357"/>
        <w:rPr>
          <w:rFonts w:ascii="Arial" w:hAnsi="Arial" w:cs="Arial"/>
          <w:color w:val="000000" w:themeColor="text1"/>
          <w:sz w:val="20"/>
          <w:szCs w:val="20"/>
        </w:rPr>
      </w:pPr>
      <w:r w:rsidRPr="000C7ABE">
        <w:rPr>
          <w:rFonts w:ascii="Arial" w:hAnsi="Arial" w:cs="Arial"/>
          <w:color w:val="000000" w:themeColor="text1"/>
          <w:sz w:val="20"/>
          <w:szCs w:val="20"/>
        </w:rPr>
        <w:t xml:space="preserve">Plans </w:t>
      </w:r>
      <w:r w:rsidR="007A66F2" w:rsidRPr="000C7ABE">
        <w:rPr>
          <w:rFonts w:ascii="Arial" w:hAnsi="Arial" w:cs="Arial"/>
          <w:color w:val="000000" w:themeColor="text1"/>
          <w:sz w:val="20"/>
          <w:szCs w:val="20"/>
        </w:rPr>
        <w:t>increasingly</w:t>
      </w:r>
      <w:r w:rsidRPr="000C7ABE">
        <w:rPr>
          <w:rFonts w:ascii="Arial" w:hAnsi="Arial" w:cs="Arial"/>
          <w:color w:val="000000" w:themeColor="text1"/>
          <w:sz w:val="20"/>
          <w:szCs w:val="20"/>
        </w:rPr>
        <w:t xml:space="preserve"> define and adopt detailed risk management policies and procedures to ensure sustainability. </w:t>
      </w:r>
      <w:r w:rsidR="004B1ED2" w:rsidRPr="000C7ABE">
        <w:rPr>
          <w:rFonts w:ascii="Arial" w:hAnsi="Arial" w:cs="Arial"/>
          <w:color w:val="000000" w:themeColor="text1"/>
          <w:sz w:val="20"/>
          <w:szCs w:val="20"/>
        </w:rPr>
        <w:t xml:space="preserve">Changes to </w:t>
      </w:r>
      <w:r w:rsidRPr="000C7ABE">
        <w:rPr>
          <w:rFonts w:ascii="Arial" w:hAnsi="Arial" w:cs="Arial"/>
          <w:color w:val="000000" w:themeColor="text1"/>
          <w:sz w:val="20"/>
          <w:szCs w:val="20"/>
        </w:rPr>
        <w:t xml:space="preserve">contribution rates or to cost of living adjustments may be prescribed based on risk assessment. </w:t>
      </w:r>
      <w:r w:rsidR="007A66F2" w:rsidRPr="000C7ABE">
        <w:rPr>
          <w:rFonts w:ascii="Arial" w:hAnsi="Arial" w:cs="Arial"/>
          <w:color w:val="000000" w:themeColor="text1"/>
          <w:sz w:val="20"/>
          <w:szCs w:val="20"/>
        </w:rPr>
        <w:t xml:space="preserve">Some </w:t>
      </w:r>
      <w:r w:rsidR="00E035DA" w:rsidRPr="000C7ABE">
        <w:rPr>
          <w:rFonts w:ascii="Arial" w:hAnsi="Arial" w:cs="Arial"/>
          <w:color w:val="000000" w:themeColor="text1"/>
          <w:sz w:val="20"/>
          <w:szCs w:val="20"/>
        </w:rPr>
        <w:t xml:space="preserve">provinces have </w:t>
      </w:r>
      <w:r w:rsidR="007A66F2" w:rsidRPr="000C7ABE">
        <w:rPr>
          <w:rFonts w:ascii="Arial" w:hAnsi="Arial" w:cs="Arial"/>
          <w:color w:val="000000" w:themeColor="text1"/>
          <w:sz w:val="20"/>
          <w:szCs w:val="20"/>
        </w:rPr>
        <w:t>incorporate</w:t>
      </w:r>
      <w:r w:rsidR="00AA00DE" w:rsidRPr="000C7ABE">
        <w:rPr>
          <w:rFonts w:ascii="Arial" w:hAnsi="Arial" w:cs="Arial"/>
          <w:color w:val="000000" w:themeColor="text1"/>
          <w:sz w:val="20"/>
          <w:szCs w:val="20"/>
        </w:rPr>
        <w:t>d</w:t>
      </w:r>
      <w:r w:rsidR="007A66F2" w:rsidRPr="000C7ABE">
        <w:rPr>
          <w:rFonts w:ascii="Arial" w:hAnsi="Arial" w:cs="Arial"/>
          <w:color w:val="000000" w:themeColor="text1"/>
          <w:sz w:val="20"/>
          <w:szCs w:val="20"/>
        </w:rPr>
        <w:t xml:space="preserve"> </w:t>
      </w:r>
      <w:r w:rsidR="007C2747" w:rsidRPr="000C7ABE">
        <w:rPr>
          <w:rFonts w:ascii="Arial" w:hAnsi="Arial" w:cs="Arial"/>
          <w:color w:val="000000" w:themeColor="text1"/>
          <w:sz w:val="20"/>
          <w:szCs w:val="20"/>
        </w:rPr>
        <w:t xml:space="preserve">risk management policy </w:t>
      </w:r>
      <w:r w:rsidR="007A66F2" w:rsidRPr="000C7ABE">
        <w:rPr>
          <w:rFonts w:ascii="Arial" w:hAnsi="Arial" w:cs="Arial"/>
          <w:color w:val="000000" w:themeColor="text1"/>
          <w:sz w:val="20"/>
          <w:szCs w:val="20"/>
        </w:rPr>
        <w:t>i</w:t>
      </w:r>
      <w:r w:rsidR="007C2747" w:rsidRPr="000C7ABE">
        <w:rPr>
          <w:rFonts w:ascii="Arial" w:hAnsi="Arial" w:cs="Arial"/>
          <w:color w:val="000000" w:themeColor="text1"/>
          <w:sz w:val="20"/>
          <w:szCs w:val="20"/>
        </w:rPr>
        <w:t xml:space="preserve">nto </w:t>
      </w:r>
      <w:r w:rsidR="00E035DA" w:rsidRPr="000C7ABE">
        <w:rPr>
          <w:rFonts w:ascii="Arial" w:hAnsi="Arial" w:cs="Arial"/>
          <w:color w:val="000000" w:themeColor="text1"/>
          <w:sz w:val="20"/>
          <w:szCs w:val="20"/>
        </w:rPr>
        <w:t xml:space="preserve">plan </w:t>
      </w:r>
      <w:r w:rsidR="007C2747" w:rsidRPr="000C7ABE">
        <w:rPr>
          <w:rFonts w:ascii="Arial" w:hAnsi="Arial" w:cs="Arial"/>
          <w:color w:val="000000" w:themeColor="text1"/>
          <w:sz w:val="20"/>
          <w:szCs w:val="20"/>
        </w:rPr>
        <w:t>legislation (e.g. NB, NS).</w:t>
      </w:r>
    </w:p>
    <w:p w:rsidR="00833235" w:rsidRPr="000C7ABE" w:rsidRDefault="009C34C0" w:rsidP="007C2747">
      <w:pPr>
        <w:pStyle w:val="ListParagraph"/>
        <w:numPr>
          <w:ilvl w:val="0"/>
          <w:numId w:val="8"/>
        </w:numPr>
        <w:rPr>
          <w:rFonts w:ascii="Arial" w:hAnsi="Arial" w:cs="Arial"/>
          <w:sz w:val="20"/>
          <w:szCs w:val="20"/>
        </w:rPr>
      </w:pPr>
      <w:r w:rsidRPr="000C7ABE">
        <w:rPr>
          <w:rFonts w:ascii="Arial" w:hAnsi="Arial" w:cs="Arial"/>
          <w:sz w:val="20"/>
          <w:szCs w:val="20"/>
        </w:rPr>
        <w:t>S</w:t>
      </w:r>
      <w:r w:rsidR="00833235" w:rsidRPr="000C7ABE">
        <w:rPr>
          <w:rFonts w:ascii="Arial" w:hAnsi="Arial" w:cs="Arial"/>
          <w:sz w:val="20"/>
          <w:szCs w:val="20"/>
        </w:rPr>
        <w:t xml:space="preserve">pecialized </w:t>
      </w:r>
      <w:r w:rsidR="002F681A" w:rsidRPr="000C7ABE">
        <w:rPr>
          <w:rFonts w:ascii="Arial" w:hAnsi="Arial" w:cs="Arial"/>
          <w:sz w:val="20"/>
          <w:szCs w:val="20"/>
        </w:rPr>
        <w:t>corporations</w:t>
      </w:r>
      <w:r w:rsidR="00833235" w:rsidRPr="000C7ABE">
        <w:rPr>
          <w:rFonts w:ascii="Arial" w:hAnsi="Arial" w:cs="Arial"/>
          <w:sz w:val="20"/>
          <w:szCs w:val="20"/>
        </w:rPr>
        <w:t xml:space="preserve"> </w:t>
      </w:r>
      <w:r w:rsidRPr="000C7ABE">
        <w:rPr>
          <w:rFonts w:ascii="Arial" w:hAnsi="Arial" w:cs="Arial"/>
          <w:sz w:val="20"/>
          <w:szCs w:val="20"/>
        </w:rPr>
        <w:t xml:space="preserve">have been established </w:t>
      </w:r>
      <w:r w:rsidR="00833235" w:rsidRPr="000C7ABE">
        <w:rPr>
          <w:rFonts w:ascii="Arial" w:hAnsi="Arial" w:cs="Arial"/>
          <w:sz w:val="20"/>
          <w:szCs w:val="20"/>
        </w:rPr>
        <w:t xml:space="preserve">to administer </w:t>
      </w:r>
      <w:r w:rsidR="001C286B" w:rsidRPr="000C7ABE">
        <w:rPr>
          <w:rFonts w:ascii="Arial" w:hAnsi="Arial" w:cs="Arial"/>
          <w:sz w:val="20"/>
          <w:szCs w:val="20"/>
        </w:rPr>
        <w:t>programs</w:t>
      </w:r>
      <w:r w:rsidR="00833235" w:rsidRPr="000C7ABE">
        <w:rPr>
          <w:rFonts w:ascii="Arial" w:hAnsi="Arial" w:cs="Arial"/>
          <w:sz w:val="20"/>
          <w:szCs w:val="20"/>
        </w:rPr>
        <w:t xml:space="preserve"> and manage investments</w:t>
      </w:r>
      <w:r w:rsidRPr="000C7ABE">
        <w:rPr>
          <w:rFonts w:ascii="Arial" w:hAnsi="Arial" w:cs="Arial"/>
          <w:sz w:val="20"/>
          <w:szCs w:val="20"/>
        </w:rPr>
        <w:t xml:space="preserve"> for most public service plans</w:t>
      </w:r>
      <w:r w:rsidR="00261A14" w:rsidRPr="000C7ABE">
        <w:rPr>
          <w:rFonts w:ascii="Arial" w:hAnsi="Arial" w:cs="Arial"/>
          <w:sz w:val="20"/>
          <w:szCs w:val="20"/>
        </w:rPr>
        <w:t xml:space="preserve">. Investment management </w:t>
      </w:r>
      <w:r w:rsidR="0048037F" w:rsidRPr="000C7ABE">
        <w:rPr>
          <w:rFonts w:ascii="Arial" w:hAnsi="Arial" w:cs="Arial"/>
          <w:sz w:val="20"/>
          <w:szCs w:val="20"/>
        </w:rPr>
        <w:t xml:space="preserve">corporations </w:t>
      </w:r>
      <w:r w:rsidR="00261A14" w:rsidRPr="000C7ABE">
        <w:rPr>
          <w:rFonts w:ascii="Arial" w:hAnsi="Arial" w:cs="Arial"/>
          <w:sz w:val="20"/>
          <w:szCs w:val="20"/>
        </w:rPr>
        <w:t>often</w:t>
      </w:r>
      <w:r w:rsidR="0048037F" w:rsidRPr="000C7ABE">
        <w:rPr>
          <w:rFonts w:ascii="Arial" w:hAnsi="Arial" w:cs="Arial"/>
          <w:sz w:val="20"/>
          <w:szCs w:val="20"/>
        </w:rPr>
        <w:t xml:space="preserve"> </w:t>
      </w:r>
      <w:r w:rsidR="00261A14" w:rsidRPr="000C7ABE">
        <w:rPr>
          <w:rFonts w:ascii="Arial" w:hAnsi="Arial" w:cs="Arial"/>
          <w:sz w:val="20"/>
          <w:szCs w:val="20"/>
        </w:rPr>
        <w:t xml:space="preserve">pool </w:t>
      </w:r>
      <w:r w:rsidR="000C7ABE" w:rsidRPr="000C7ABE">
        <w:rPr>
          <w:rFonts w:ascii="Arial" w:hAnsi="Arial" w:cs="Arial"/>
          <w:sz w:val="20"/>
          <w:szCs w:val="20"/>
        </w:rPr>
        <w:t>funds from several</w:t>
      </w:r>
      <w:r w:rsidR="00261A14" w:rsidRPr="000C7ABE">
        <w:rPr>
          <w:rFonts w:ascii="Arial" w:hAnsi="Arial" w:cs="Arial"/>
          <w:sz w:val="20"/>
          <w:szCs w:val="20"/>
        </w:rPr>
        <w:t xml:space="preserve"> public sector</w:t>
      </w:r>
      <w:r w:rsidR="00833235" w:rsidRPr="000C7ABE">
        <w:rPr>
          <w:rFonts w:ascii="Arial" w:hAnsi="Arial" w:cs="Arial"/>
          <w:sz w:val="20"/>
          <w:szCs w:val="20"/>
        </w:rPr>
        <w:t xml:space="preserve"> </w:t>
      </w:r>
      <w:r w:rsidR="00261A14" w:rsidRPr="000C7ABE">
        <w:rPr>
          <w:rFonts w:ascii="Arial" w:hAnsi="Arial" w:cs="Arial"/>
          <w:sz w:val="20"/>
          <w:szCs w:val="20"/>
        </w:rPr>
        <w:t>pension plans</w:t>
      </w:r>
      <w:r w:rsidR="0048037F" w:rsidRPr="000C7ABE">
        <w:rPr>
          <w:rFonts w:ascii="Arial" w:hAnsi="Arial" w:cs="Arial"/>
          <w:sz w:val="20"/>
          <w:szCs w:val="20"/>
        </w:rPr>
        <w:t>.</w:t>
      </w:r>
      <w:r w:rsidR="00261A14" w:rsidRPr="000C7ABE">
        <w:rPr>
          <w:rFonts w:ascii="Arial" w:hAnsi="Arial" w:cs="Arial"/>
          <w:sz w:val="20"/>
          <w:szCs w:val="20"/>
        </w:rPr>
        <w:t xml:space="preserve"> </w:t>
      </w:r>
      <w:r w:rsidR="00310638" w:rsidRPr="000C7ABE">
        <w:rPr>
          <w:rFonts w:ascii="Arial" w:hAnsi="Arial" w:cs="Arial"/>
          <w:sz w:val="20"/>
          <w:szCs w:val="20"/>
        </w:rPr>
        <w:t xml:space="preserve">Quebec’s CDPQ, for example, </w:t>
      </w:r>
      <w:r w:rsidR="007A42D5" w:rsidRPr="000C7ABE">
        <w:rPr>
          <w:rFonts w:ascii="Arial" w:hAnsi="Arial" w:cs="Arial"/>
          <w:sz w:val="20"/>
          <w:szCs w:val="20"/>
        </w:rPr>
        <w:t xml:space="preserve">manages funds for </w:t>
      </w:r>
      <w:r w:rsidR="002F681A" w:rsidRPr="000C7ABE">
        <w:rPr>
          <w:rFonts w:ascii="Arial" w:hAnsi="Arial" w:cs="Arial"/>
          <w:sz w:val="20"/>
          <w:szCs w:val="20"/>
        </w:rPr>
        <w:t xml:space="preserve">34 depositors and </w:t>
      </w:r>
      <w:r w:rsidR="00310638" w:rsidRPr="000C7ABE">
        <w:rPr>
          <w:rFonts w:ascii="Arial" w:hAnsi="Arial" w:cs="Arial"/>
          <w:sz w:val="20"/>
          <w:szCs w:val="20"/>
        </w:rPr>
        <w:t xml:space="preserve">is one of the largest institutional fund managers in </w:t>
      </w:r>
      <w:r w:rsidRPr="000C7ABE">
        <w:rPr>
          <w:rFonts w:ascii="Arial" w:hAnsi="Arial" w:cs="Arial"/>
          <w:sz w:val="20"/>
          <w:szCs w:val="20"/>
        </w:rPr>
        <w:t>North America</w:t>
      </w:r>
      <w:r w:rsidR="00310638" w:rsidRPr="000C7ABE">
        <w:rPr>
          <w:rFonts w:ascii="Arial" w:hAnsi="Arial" w:cs="Arial"/>
          <w:sz w:val="20"/>
          <w:szCs w:val="20"/>
        </w:rPr>
        <w:t xml:space="preserve">. </w:t>
      </w:r>
      <w:r w:rsidR="002F681A" w:rsidRPr="000C7ABE">
        <w:rPr>
          <w:rFonts w:ascii="Arial" w:hAnsi="Arial" w:cs="Arial"/>
          <w:sz w:val="20"/>
          <w:szCs w:val="20"/>
        </w:rPr>
        <w:t>(CDPQ – depositors 2017)</w:t>
      </w:r>
      <w:r w:rsidR="007C2747" w:rsidRPr="000C7ABE">
        <w:rPr>
          <w:rFonts w:ascii="Arial" w:hAnsi="Arial" w:cs="Arial"/>
          <w:sz w:val="20"/>
          <w:szCs w:val="20"/>
        </w:rPr>
        <w:t xml:space="preserve"> </w:t>
      </w:r>
    </w:p>
    <w:p w:rsidR="009B1EC8" w:rsidRPr="00CE6670" w:rsidRDefault="009B1EC8" w:rsidP="00697F04">
      <w:pPr>
        <w:spacing w:before="100" w:beforeAutospacing="1" w:after="100" w:afterAutospacing="1" w:line="240" w:lineRule="auto"/>
        <w:rPr>
          <w:rFonts w:ascii="Arial" w:hAnsi="Arial" w:cs="Arial"/>
          <w:color w:val="000000" w:themeColor="text1"/>
          <w:sz w:val="20"/>
          <w:szCs w:val="20"/>
        </w:rPr>
      </w:pPr>
      <w:r w:rsidRPr="00CE6670">
        <w:rPr>
          <w:rFonts w:ascii="Arial" w:hAnsi="Arial" w:cs="Arial"/>
          <w:color w:val="000000" w:themeColor="text1"/>
          <w:sz w:val="20"/>
          <w:szCs w:val="20"/>
        </w:rPr>
        <w:t xml:space="preserve">Other things </w:t>
      </w:r>
      <w:r w:rsidR="00F60439" w:rsidRPr="00CE6670">
        <w:rPr>
          <w:rFonts w:ascii="Arial" w:hAnsi="Arial" w:cs="Arial"/>
          <w:color w:val="000000" w:themeColor="text1"/>
          <w:sz w:val="20"/>
          <w:szCs w:val="20"/>
        </w:rPr>
        <w:t xml:space="preserve">that </w:t>
      </w:r>
      <w:r w:rsidR="00642DE5">
        <w:rPr>
          <w:rFonts w:ascii="Arial" w:hAnsi="Arial" w:cs="Arial"/>
          <w:color w:val="000000" w:themeColor="text1"/>
          <w:sz w:val="20"/>
          <w:szCs w:val="20"/>
        </w:rPr>
        <w:t>can</w:t>
      </w:r>
      <w:r w:rsidR="006D25A2">
        <w:rPr>
          <w:rFonts w:ascii="Arial" w:hAnsi="Arial" w:cs="Arial"/>
          <w:color w:val="000000" w:themeColor="text1"/>
          <w:sz w:val="20"/>
          <w:szCs w:val="20"/>
        </w:rPr>
        <w:t xml:space="preserve"> </w:t>
      </w:r>
      <w:r w:rsidR="000552A7" w:rsidRPr="00CE6670">
        <w:rPr>
          <w:rFonts w:ascii="Arial" w:hAnsi="Arial" w:cs="Arial"/>
          <w:color w:val="000000" w:themeColor="text1"/>
          <w:sz w:val="20"/>
          <w:szCs w:val="20"/>
        </w:rPr>
        <w:t>be</w:t>
      </w:r>
      <w:r w:rsidRPr="00CE6670">
        <w:rPr>
          <w:rFonts w:ascii="Arial" w:hAnsi="Arial" w:cs="Arial"/>
          <w:color w:val="000000" w:themeColor="text1"/>
          <w:sz w:val="20"/>
          <w:szCs w:val="20"/>
        </w:rPr>
        <w:t xml:space="preserve"> changed within the d</w:t>
      </w:r>
      <w:r w:rsidR="004B1ED2">
        <w:rPr>
          <w:rFonts w:ascii="Arial" w:hAnsi="Arial" w:cs="Arial"/>
          <w:color w:val="000000" w:themeColor="text1"/>
          <w:sz w:val="20"/>
          <w:szCs w:val="20"/>
        </w:rPr>
        <w:t xml:space="preserve">efined benefit model to ensure </w:t>
      </w:r>
      <w:r w:rsidRPr="00CE6670">
        <w:rPr>
          <w:rFonts w:ascii="Arial" w:hAnsi="Arial" w:cs="Arial"/>
          <w:color w:val="000000" w:themeColor="text1"/>
          <w:sz w:val="20"/>
          <w:szCs w:val="20"/>
        </w:rPr>
        <w:t>sustainab</w:t>
      </w:r>
      <w:r w:rsidR="006D25A2">
        <w:rPr>
          <w:rFonts w:ascii="Arial" w:hAnsi="Arial" w:cs="Arial"/>
          <w:color w:val="000000" w:themeColor="text1"/>
          <w:sz w:val="20"/>
          <w:szCs w:val="20"/>
        </w:rPr>
        <w:t>ility</w:t>
      </w:r>
      <w:r w:rsidRPr="00CE6670">
        <w:rPr>
          <w:rFonts w:ascii="Arial" w:hAnsi="Arial" w:cs="Arial"/>
          <w:color w:val="000000" w:themeColor="text1"/>
          <w:sz w:val="20"/>
          <w:szCs w:val="20"/>
        </w:rPr>
        <w:t xml:space="preserve"> </w:t>
      </w:r>
      <w:r w:rsidR="00F60439" w:rsidRPr="00CE6670">
        <w:rPr>
          <w:rFonts w:ascii="Arial" w:hAnsi="Arial" w:cs="Arial"/>
          <w:color w:val="000000" w:themeColor="text1"/>
          <w:sz w:val="20"/>
          <w:szCs w:val="20"/>
        </w:rPr>
        <w:t>include</w:t>
      </w:r>
      <w:r w:rsidRPr="00CE6670">
        <w:rPr>
          <w:rFonts w:ascii="Arial" w:hAnsi="Arial" w:cs="Arial"/>
          <w:color w:val="000000" w:themeColor="text1"/>
          <w:sz w:val="20"/>
          <w:szCs w:val="20"/>
        </w:rPr>
        <w:t xml:space="preserve"> contribution rates, retirement formulas and cost of living adjustments</w:t>
      </w:r>
      <w:r w:rsidR="0057451E" w:rsidRPr="00CE6670">
        <w:rPr>
          <w:rFonts w:ascii="Arial" w:hAnsi="Arial" w:cs="Arial"/>
          <w:color w:val="000000" w:themeColor="text1"/>
          <w:sz w:val="20"/>
          <w:szCs w:val="20"/>
        </w:rPr>
        <w:t xml:space="preserve"> (COLA)</w:t>
      </w:r>
      <w:r w:rsidRPr="00CE6670">
        <w:rPr>
          <w:rFonts w:ascii="Arial" w:hAnsi="Arial" w:cs="Arial"/>
          <w:color w:val="000000" w:themeColor="text1"/>
          <w:sz w:val="20"/>
          <w:szCs w:val="20"/>
        </w:rPr>
        <w:t>. Of these, only cost of living adjustments</w:t>
      </w:r>
      <w:r w:rsidR="009E6C27">
        <w:rPr>
          <w:rFonts w:ascii="Arial" w:hAnsi="Arial" w:cs="Arial"/>
          <w:color w:val="000000" w:themeColor="text1"/>
          <w:sz w:val="20"/>
          <w:szCs w:val="20"/>
        </w:rPr>
        <w:t xml:space="preserve"> affect existing retirees</w:t>
      </w:r>
      <w:r w:rsidR="000C7ABE">
        <w:rPr>
          <w:rFonts w:ascii="Arial" w:hAnsi="Arial" w:cs="Arial"/>
          <w:color w:val="000000" w:themeColor="text1"/>
          <w:sz w:val="20"/>
          <w:szCs w:val="20"/>
        </w:rPr>
        <w:t xml:space="preserve">. </w:t>
      </w:r>
      <w:r w:rsidR="009E6C27">
        <w:rPr>
          <w:rFonts w:ascii="Arial" w:hAnsi="Arial" w:cs="Arial"/>
          <w:color w:val="000000" w:themeColor="text1"/>
          <w:sz w:val="20"/>
          <w:szCs w:val="20"/>
        </w:rPr>
        <w:t>C</w:t>
      </w:r>
      <w:r w:rsidR="00C9094E">
        <w:rPr>
          <w:rFonts w:ascii="Arial" w:hAnsi="Arial" w:cs="Arial"/>
          <w:color w:val="000000" w:themeColor="text1"/>
          <w:sz w:val="20"/>
          <w:szCs w:val="20"/>
        </w:rPr>
        <w:t xml:space="preserve">ost of living adjustments </w:t>
      </w:r>
      <w:r w:rsidR="009E6C27">
        <w:rPr>
          <w:rFonts w:ascii="Arial" w:hAnsi="Arial" w:cs="Arial"/>
          <w:color w:val="000000" w:themeColor="text1"/>
          <w:sz w:val="20"/>
          <w:szCs w:val="20"/>
        </w:rPr>
        <w:t>are</w:t>
      </w:r>
      <w:r w:rsidR="00C705B3">
        <w:rPr>
          <w:rFonts w:ascii="Arial" w:hAnsi="Arial" w:cs="Arial"/>
          <w:color w:val="000000" w:themeColor="text1"/>
          <w:sz w:val="20"/>
          <w:szCs w:val="20"/>
        </w:rPr>
        <w:t xml:space="preserve"> not always guaranteed in plan legislation and are sometimes considered </w:t>
      </w:r>
      <w:r w:rsidR="00AA00DE">
        <w:rPr>
          <w:rFonts w:ascii="Arial" w:hAnsi="Arial" w:cs="Arial"/>
          <w:color w:val="000000" w:themeColor="text1"/>
          <w:sz w:val="20"/>
          <w:szCs w:val="20"/>
        </w:rPr>
        <w:t xml:space="preserve">to be </w:t>
      </w:r>
      <w:r w:rsidR="00C705B3">
        <w:rPr>
          <w:rFonts w:ascii="Arial" w:hAnsi="Arial" w:cs="Arial"/>
          <w:color w:val="000000" w:themeColor="text1"/>
          <w:sz w:val="20"/>
          <w:szCs w:val="20"/>
        </w:rPr>
        <w:t>ancillary benefits</w:t>
      </w:r>
      <w:r w:rsidR="009E6C27">
        <w:rPr>
          <w:rFonts w:ascii="Arial" w:hAnsi="Arial" w:cs="Arial"/>
          <w:color w:val="000000" w:themeColor="text1"/>
          <w:sz w:val="20"/>
          <w:szCs w:val="20"/>
        </w:rPr>
        <w:t>.</w:t>
      </w:r>
    </w:p>
    <w:p w:rsidR="009B1EC8" w:rsidRPr="00CE6670" w:rsidRDefault="0057451E" w:rsidP="009B1EC8">
      <w:pPr>
        <w:pStyle w:val="ListParagraph"/>
        <w:numPr>
          <w:ilvl w:val="0"/>
          <w:numId w:val="3"/>
        </w:numPr>
        <w:spacing w:before="100" w:beforeAutospacing="1" w:after="100" w:afterAutospacing="1" w:line="240" w:lineRule="auto"/>
        <w:rPr>
          <w:rFonts w:ascii="Arial" w:hAnsi="Arial" w:cs="Arial"/>
          <w:color w:val="000000" w:themeColor="text1"/>
          <w:sz w:val="20"/>
          <w:szCs w:val="20"/>
        </w:rPr>
      </w:pPr>
      <w:r w:rsidRPr="00CE6670">
        <w:rPr>
          <w:rFonts w:ascii="Arial" w:hAnsi="Arial" w:cs="Arial"/>
          <w:color w:val="000000" w:themeColor="text1"/>
          <w:sz w:val="20"/>
          <w:szCs w:val="20"/>
        </w:rPr>
        <w:t xml:space="preserve">Changes to </w:t>
      </w:r>
      <w:r w:rsidR="0089117B" w:rsidRPr="00CE6670">
        <w:rPr>
          <w:rFonts w:ascii="Arial" w:hAnsi="Arial" w:cs="Arial"/>
          <w:color w:val="000000" w:themeColor="text1"/>
          <w:sz w:val="20"/>
          <w:szCs w:val="20"/>
        </w:rPr>
        <w:t>contribution rates</w:t>
      </w:r>
      <w:r w:rsidRPr="00CE6670">
        <w:rPr>
          <w:rFonts w:ascii="Arial" w:hAnsi="Arial" w:cs="Arial"/>
          <w:color w:val="000000" w:themeColor="text1"/>
          <w:sz w:val="20"/>
          <w:szCs w:val="20"/>
        </w:rPr>
        <w:t xml:space="preserve"> are </w:t>
      </w:r>
      <w:r w:rsidR="00C705B3">
        <w:rPr>
          <w:rFonts w:ascii="Arial" w:hAnsi="Arial" w:cs="Arial"/>
          <w:color w:val="000000" w:themeColor="text1"/>
          <w:sz w:val="20"/>
          <w:szCs w:val="20"/>
        </w:rPr>
        <w:t xml:space="preserve">a </w:t>
      </w:r>
      <w:r w:rsidR="00D07AA6" w:rsidRPr="007637A1">
        <w:rPr>
          <w:rFonts w:ascii="Arial" w:hAnsi="Arial" w:cs="Arial"/>
          <w:color w:val="000000" w:themeColor="text1"/>
          <w:sz w:val="20"/>
          <w:szCs w:val="20"/>
        </w:rPr>
        <w:t>common</w:t>
      </w:r>
      <w:r w:rsidR="00C705B3" w:rsidRPr="007637A1">
        <w:rPr>
          <w:rFonts w:ascii="Arial" w:hAnsi="Arial" w:cs="Arial"/>
          <w:color w:val="000000" w:themeColor="text1"/>
          <w:sz w:val="20"/>
          <w:szCs w:val="20"/>
        </w:rPr>
        <w:t xml:space="preserve"> adjustment</w:t>
      </w:r>
      <w:r w:rsidR="00D07AA6" w:rsidRPr="007637A1">
        <w:rPr>
          <w:rFonts w:ascii="Arial" w:hAnsi="Arial" w:cs="Arial"/>
          <w:color w:val="000000" w:themeColor="text1"/>
          <w:sz w:val="20"/>
          <w:szCs w:val="20"/>
        </w:rPr>
        <w:t xml:space="preserve">. </w:t>
      </w:r>
      <w:r w:rsidR="009B1EC8" w:rsidRPr="007637A1">
        <w:rPr>
          <w:rFonts w:ascii="Arial" w:hAnsi="Arial" w:cs="Arial"/>
          <w:color w:val="000000" w:themeColor="text1"/>
          <w:sz w:val="20"/>
          <w:szCs w:val="20"/>
        </w:rPr>
        <w:t xml:space="preserve">Risk may be shared between employer and employee by splitting any increases </w:t>
      </w:r>
      <w:r w:rsidR="00C705B3" w:rsidRPr="007637A1">
        <w:rPr>
          <w:rFonts w:ascii="Arial" w:hAnsi="Arial" w:cs="Arial"/>
          <w:color w:val="000000" w:themeColor="text1"/>
          <w:sz w:val="20"/>
          <w:szCs w:val="20"/>
        </w:rPr>
        <w:t>to</w:t>
      </w:r>
      <w:r w:rsidR="009B1EC8" w:rsidRPr="007637A1">
        <w:rPr>
          <w:rFonts w:ascii="Arial" w:hAnsi="Arial" w:cs="Arial"/>
          <w:color w:val="000000" w:themeColor="text1"/>
          <w:sz w:val="20"/>
          <w:szCs w:val="20"/>
        </w:rPr>
        <w:t xml:space="preserve"> contribution rates that are required in the future. Contribution rates can be set to fully pre pay for future benefits (</w:t>
      </w:r>
      <w:r w:rsidR="0089117B" w:rsidRPr="007637A1">
        <w:rPr>
          <w:rFonts w:ascii="Arial" w:hAnsi="Arial" w:cs="Arial"/>
          <w:color w:val="000000" w:themeColor="text1"/>
          <w:sz w:val="20"/>
          <w:szCs w:val="20"/>
        </w:rPr>
        <w:t>as in BC</w:t>
      </w:r>
      <w:r w:rsidR="009B1EC8" w:rsidRPr="007637A1">
        <w:rPr>
          <w:rFonts w:ascii="Arial" w:hAnsi="Arial" w:cs="Arial"/>
          <w:color w:val="000000" w:themeColor="text1"/>
          <w:sz w:val="20"/>
          <w:szCs w:val="20"/>
        </w:rPr>
        <w:t xml:space="preserve">). </w:t>
      </w:r>
      <w:r w:rsidRPr="007637A1">
        <w:rPr>
          <w:rFonts w:ascii="Arial" w:hAnsi="Arial" w:cs="Arial"/>
          <w:color w:val="000000" w:themeColor="text1"/>
          <w:sz w:val="20"/>
          <w:szCs w:val="20"/>
        </w:rPr>
        <w:t>Sometimes rate changes are prescribed in risk management policies.</w:t>
      </w:r>
    </w:p>
    <w:p w:rsidR="009B1EC8" w:rsidRPr="00547EE4" w:rsidRDefault="00C705B3" w:rsidP="00697F04">
      <w:pPr>
        <w:pStyle w:val="ListParagraph"/>
        <w:numPr>
          <w:ilvl w:val="0"/>
          <w:numId w:val="3"/>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C</w:t>
      </w:r>
      <w:r w:rsidR="000552A7" w:rsidRPr="00CE6670">
        <w:rPr>
          <w:rFonts w:ascii="Arial" w:hAnsi="Arial" w:cs="Arial"/>
          <w:color w:val="000000" w:themeColor="text1"/>
          <w:sz w:val="20"/>
          <w:szCs w:val="20"/>
        </w:rPr>
        <w:t>hange</w:t>
      </w:r>
      <w:r>
        <w:rPr>
          <w:rFonts w:ascii="Arial" w:hAnsi="Arial" w:cs="Arial"/>
          <w:color w:val="000000" w:themeColor="text1"/>
          <w:sz w:val="20"/>
          <w:szCs w:val="20"/>
        </w:rPr>
        <w:t>s are sometimes made to</w:t>
      </w:r>
      <w:r w:rsidR="009B1EC8" w:rsidRPr="00CE6670">
        <w:rPr>
          <w:rFonts w:ascii="Arial" w:hAnsi="Arial" w:cs="Arial"/>
          <w:color w:val="000000" w:themeColor="text1"/>
          <w:sz w:val="20"/>
          <w:szCs w:val="20"/>
        </w:rPr>
        <w:t xml:space="preserve"> retirement age and years of service requirements and/or </w:t>
      </w:r>
      <w:r>
        <w:rPr>
          <w:rFonts w:ascii="Arial" w:hAnsi="Arial" w:cs="Arial"/>
          <w:color w:val="000000" w:themeColor="text1"/>
          <w:sz w:val="20"/>
          <w:szCs w:val="20"/>
        </w:rPr>
        <w:t xml:space="preserve">to </w:t>
      </w:r>
      <w:r w:rsidR="009B1EC8" w:rsidRPr="00CE6670">
        <w:rPr>
          <w:rFonts w:ascii="Arial" w:hAnsi="Arial" w:cs="Arial"/>
          <w:color w:val="000000" w:themeColor="text1"/>
          <w:sz w:val="20"/>
          <w:szCs w:val="20"/>
        </w:rPr>
        <w:t xml:space="preserve">the </w:t>
      </w:r>
      <w:r w:rsidR="003824A8" w:rsidRPr="00547EE4">
        <w:rPr>
          <w:rFonts w:ascii="Arial" w:hAnsi="Arial" w:cs="Arial"/>
          <w:color w:val="000000" w:themeColor="text1"/>
          <w:sz w:val="20"/>
          <w:szCs w:val="20"/>
        </w:rPr>
        <w:t xml:space="preserve">number of </w:t>
      </w:r>
      <w:r w:rsidR="009B1EC8" w:rsidRPr="00547EE4">
        <w:rPr>
          <w:rFonts w:ascii="Arial" w:hAnsi="Arial" w:cs="Arial"/>
          <w:color w:val="000000" w:themeColor="text1"/>
          <w:sz w:val="20"/>
          <w:szCs w:val="20"/>
        </w:rPr>
        <w:t>earning year</w:t>
      </w:r>
      <w:r w:rsidR="003824A8" w:rsidRPr="00547EE4">
        <w:rPr>
          <w:rFonts w:ascii="Arial" w:hAnsi="Arial" w:cs="Arial"/>
          <w:color w:val="000000" w:themeColor="text1"/>
          <w:sz w:val="20"/>
          <w:szCs w:val="20"/>
        </w:rPr>
        <w:t xml:space="preserve">s used to </w:t>
      </w:r>
      <w:r w:rsidR="009B1EC8" w:rsidRPr="00547EE4">
        <w:rPr>
          <w:rFonts w:ascii="Arial" w:hAnsi="Arial" w:cs="Arial"/>
          <w:color w:val="000000" w:themeColor="text1"/>
          <w:sz w:val="20"/>
          <w:szCs w:val="20"/>
        </w:rPr>
        <w:t>calculate benefits. Early retirement provisions may also be changed. Often these kinds of changes are appl</w:t>
      </w:r>
      <w:r w:rsidR="00D07AA6" w:rsidRPr="00547EE4">
        <w:rPr>
          <w:rFonts w:ascii="Arial" w:hAnsi="Arial" w:cs="Arial"/>
          <w:color w:val="000000" w:themeColor="text1"/>
          <w:sz w:val="20"/>
          <w:szCs w:val="20"/>
        </w:rPr>
        <w:t xml:space="preserve">ied </w:t>
      </w:r>
      <w:r w:rsidR="009B1EC8" w:rsidRPr="00547EE4">
        <w:rPr>
          <w:rFonts w:ascii="Arial" w:hAnsi="Arial" w:cs="Arial"/>
          <w:color w:val="000000" w:themeColor="text1"/>
          <w:sz w:val="20"/>
          <w:szCs w:val="20"/>
        </w:rPr>
        <w:t xml:space="preserve">only to new employees (e.g. 2010 eligibility changes in NS), but not always. Prince Edward Island </w:t>
      </w:r>
      <w:r w:rsidR="000552A7" w:rsidRPr="00547EE4">
        <w:rPr>
          <w:rFonts w:ascii="Arial" w:hAnsi="Arial" w:cs="Arial"/>
          <w:color w:val="000000" w:themeColor="text1"/>
          <w:sz w:val="20"/>
          <w:szCs w:val="20"/>
        </w:rPr>
        <w:t xml:space="preserve">included all active employees when it changed </w:t>
      </w:r>
      <w:r w:rsidR="009B1EC8" w:rsidRPr="00547EE4">
        <w:rPr>
          <w:rFonts w:ascii="Arial" w:hAnsi="Arial" w:cs="Arial"/>
          <w:color w:val="000000" w:themeColor="text1"/>
          <w:sz w:val="20"/>
          <w:szCs w:val="20"/>
        </w:rPr>
        <w:t xml:space="preserve">from a “best three years” to an “indexed average earnings” formula </w:t>
      </w:r>
      <w:r w:rsidR="000552A7" w:rsidRPr="00547EE4">
        <w:rPr>
          <w:rFonts w:ascii="Arial" w:hAnsi="Arial" w:cs="Arial"/>
          <w:color w:val="000000" w:themeColor="text1"/>
          <w:sz w:val="20"/>
          <w:szCs w:val="20"/>
        </w:rPr>
        <w:t>in 2014.</w:t>
      </w:r>
    </w:p>
    <w:p w:rsidR="009B1EC8" w:rsidRPr="00547EE4" w:rsidRDefault="0057451E" w:rsidP="009B1EC8">
      <w:pPr>
        <w:pStyle w:val="ListParagraph"/>
        <w:numPr>
          <w:ilvl w:val="0"/>
          <w:numId w:val="3"/>
        </w:numPr>
        <w:spacing w:after="0" w:line="240" w:lineRule="auto"/>
        <w:rPr>
          <w:rFonts w:ascii="Arial" w:eastAsia="Times New Roman" w:hAnsi="Arial" w:cs="Arial"/>
          <w:sz w:val="20"/>
          <w:szCs w:val="20"/>
          <w:lang w:eastAsia="en-CA"/>
        </w:rPr>
      </w:pPr>
      <w:r w:rsidRPr="00547EE4">
        <w:rPr>
          <w:rFonts w:ascii="Arial" w:eastAsia="Times New Roman" w:hAnsi="Arial" w:cs="Arial"/>
          <w:color w:val="000000" w:themeColor="text1"/>
          <w:sz w:val="20"/>
          <w:szCs w:val="20"/>
          <w:lang w:eastAsia="en-CA"/>
        </w:rPr>
        <w:t>In</w:t>
      </w:r>
      <w:r w:rsidR="00B20DE9" w:rsidRPr="00547EE4">
        <w:rPr>
          <w:rFonts w:ascii="Arial" w:eastAsia="Times New Roman" w:hAnsi="Arial" w:cs="Arial"/>
          <w:color w:val="000000" w:themeColor="text1"/>
          <w:sz w:val="20"/>
          <w:szCs w:val="20"/>
          <w:lang w:eastAsia="en-CA"/>
        </w:rPr>
        <w:t>dexing provisions</w:t>
      </w:r>
      <w:r w:rsidRPr="00547EE4">
        <w:rPr>
          <w:rFonts w:ascii="Arial" w:eastAsia="Times New Roman" w:hAnsi="Arial" w:cs="Arial"/>
          <w:color w:val="000000" w:themeColor="text1"/>
          <w:sz w:val="20"/>
          <w:szCs w:val="20"/>
          <w:lang w:eastAsia="en-CA"/>
        </w:rPr>
        <w:t xml:space="preserve"> </w:t>
      </w:r>
      <w:r w:rsidR="00C705B3" w:rsidRPr="00547EE4">
        <w:rPr>
          <w:rFonts w:ascii="Arial" w:eastAsia="Times New Roman" w:hAnsi="Arial" w:cs="Arial"/>
          <w:color w:val="000000" w:themeColor="text1"/>
          <w:sz w:val="20"/>
          <w:szCs w:val="20"/>
          <w:lang w:eastAsia="en-CA"/>
        </w:rPr>
        <w:t xml:space="preserve">(COLAs) </w:t>
      </w:r>
      <w:r w:rsidRPr="00547EE4">
        <w:rPr>
          <w:rFonts w:ascii="Arial" w:eastAsia="Times New Roman" w:hAnsi="Arial" w:cs="Arial"/>
          <w:color w:val="000000" w:themeColor="text1"/>
          <w:sz w:val="20"/>
          <w:szCs w:val="20"/>
          <w:lang w:eastAsia="en-CA"/>
        </w:rPr>
        <w:t>have been subject to change in many</w:t>
      </w:r>
      <w:r w:rsidRPr="009E6C27">
        <w:rPr>
          <w:rFonts w:ascii="Arial" w:eastAsia="Times New Roman" w:hAnsi="Arial" w:cs="Arial"/>
          <w:color w:val="000000" w:themeColor="text1"/>
          <w:sz w:val="20"/>
          <w:szCs w:val="20"/>
          <w:lang w:eastAsia="en-CA"/>
        </w:rPr>
        <w:t xml:space="preserve"> pension plans</w:t>
      </w:r>
      <w:r w:rsidR="00B20DE9" w:rsidRPr="009E6C27">
        <w:rPr>
          <w:rFonts w:ascii="Arial" w:eastAsia="Times New Roman" w:hAnsi="Arial" w:cs="Arial"/>
          <w:color w:val="000000" w:themeColor="text1"/>
          <w:sz w:val="20"/>
          <w:szCs w:val="20"/>
          <w:lang w:eastAsia="en-CA"/>
        </w:rPr>
        <w:t xml:space="preserve">. </w:t>
      </w:r>
      <w:r w:rsidR="00236D80" w:rsidRPr="009E6C27">
        <w:rPr>
          <w:rFonts w:ascii="Arial" w:eastAsia="Times New Roman" w:hAnsi="Arial" w:cs="Arial"/>
          <w:color w:val="000000" w:themeColor="text1"/>
          <w:sz w:val="20"/>
          <w:szCs w:val="20"/>
          <w:lang w:eastAsia="en-CA"/>
        </w:rPr>
        <w:t xml:space="preserve">Several plans </w:t>
      </w:r>
      <w:r w:rsidR="00C705B3" w:rsidRPr="009E6C27">
        <w:rPr>
          <w:rFonts w:ascii="Arial" w:eastAsia="Times New Roman" w:hAnsi="Arial" w:cs="Arial"/>
          <w:color w:val="000000" w:themeColor="text1"/>
          <w:sz w:val="20"/>
          <w:szCs w:val="20"/>
          <w:lang w:eastAsia="en-CA"/>
        </w:rPr>
        <w:t>have made</w:t>
      </w:r>
      <w:r w:rsidR="00236D80" w:rsidRPr="009E6C27">
        <w:rPr>
          <w:rFonts w:ascii="Arial" w:eastAsia="Times New Roman" w:hAnsi="Arial" w:cs="Arial"/>
          <w:color w:val="000000" w:themeColor="text1"/>
          <w:sz w:val="20"/>
          <w:szCs w:val="20"/>
          <w:lang w:eastAsia="en-CA"/>
        </w:rPr>
        <w:t xml:space="preserve"> indexing contingent upon the funded status of the plan (NB since 2012, NS since 2010, PEI since 2014) or on the performance of a separate index fund (MB since 1977</w:t>
      </w:r>
      <w:r w:rsidR="00C705B3" w:rsidRPr="009E6C27">
        <w:rPr>
          <w:rFonts w:ascii="Arial" w:eastAsia="Times New Roman" w:hAnsi="Arial" w:cs="Arial"/>
          <w:color w:val="000000" w:themeColor="text1"/>
          <w:sz w:val="20"/>
          <w:szCs w:val="20"/>
          <w:lang w:eastAsia="en-CA"/>
        </w:rPr>
        <w:t>, BC since the early 80s</w:t>
      </w:r>
      <w:r w:rsidR="00236D80" w:rsidRPr="009E6C27">
        <w:rPr>
          <w:rFonts w:ascii="Arial" w:eastAsia="Times New Roman" w:hAnsi="Arial" w:cs="Arial"/>
          <w:color w:val="000000" w:themeColor="text1"/>
          <w:sz w:val="20"/>
          <w:szCs w:val="20"/>
          <w:lang w:eastAsia="en-CA"/>
        </w:rPr>
        <w:t xml:space="preserve">). </w:t>
      </w:r>
      <w:r w:rsidR="00236D80" w:rsidRPr="00547EE4">
        <w:rPr>
          <w:rFonts w:ascii="Arial" w:eastAsia="Times New Roman" w:hAnsi="Arial" w:cs="Arial"/>
          <w:color w:val="000000" w:themeColor="text1"/>
          <w:sz w:val="20"/>
          <w:szCs w:val="20"/>
          <w:lang w:eastAsia="en-CA"/>
        </w:rPr>
        <w:t xml:space="preserve">Newfoundland and Labrador </w:t>
      </w:r>
      <w:r w:rsidR="0083777E" w:rsidRPr="00547EE4">
        <w:rPr>
          <w:rFonts w:ascii="Arial" w:eastAsia="Times New Roman" w:hAnsi="Arial" w:cs="Arial"/>
          <w:color w:val="000000" w:themeColor="text1"/>
          <w:sz w:val="20"/>
          <w:szCs w:val="20"/>
          <w:lang w:eastAsia="en-CA"/>
        </w:rPr>
        <w:t xml:space="preserve">suspended </w:t>
      </w:r>
      <w:r w:rsidR="00547EE4" w:rsidRPr="00547EE4">
        <w:rPr>
          <w:rFonts w:ascii="Arial" w:eastAsia="Times New Roman" w:hAnsi="Arial" w:cs="Arial"/>
          <w:color w:val="000000" w:themeColor="text1"/>
          <w:sz w:val="20"/>
          <w:szCs w:val="20"/>
          <w:lang w:eastAsia="en-CA"/>
        </w:rPr>
        <w:t xml:space="preserve">indexing </w:t>
      </w:r>
      <w:r w:rsidR="0083777E" w:rsidRPr="00547EE4">
        <w:rPr>
          <w:rFonts w:ascii="Arial" w:eastAsia="Times New Roman" w:hAnsi="Arial" w:cs="Arial"/>
          <w:color w:val="000000" w:themeColor="text1"/>
          <w:sz w:val="20"/>
          <w:szCs w:val="20"/>
          <w:lang w:eastAsia="en-CA"/>
        </w:rPr>
        <w:t>on</w:t>
      </w:r>
      <w:r w:rsidR="00236D80" w:rsidRPr="00547EE4">
        <w:rPr>
          <w:rFonts w:ascii="Arial" w:eastAsia="Times New Roman" w:hAnsi="Arial" w:cs="Arial"/>
          <w:color w:val="000000" w:themeColor="text1"/>
          <w:sz w:val="20"/>
          <w:szCs w:val="20"/>
          <w:lang w:eastAsia="en-CA"/>
        </w:rPr>
        <w:t xml:space="preserve"> </w:t>
      </w:r>
      <w:r w:rsidR="0083777E" w:rsidRPr="00547EE4">
        <w:rPr>
          <w:rFonts w:ascii="Arial" w:eastAsia="Times New Roman" w:hAnsi="Arial" w:cs="Arial"/>
          <w:color w:val="000000" w:themeColor="text1"/>
          <w:sz w:val="20"/>
          <w:szCs w:val="20"/>
          <w:lang w:eastAsia="en-CA"/>
        </w:rPr>
        <w:t xml:space="preserve">future service </w:t>
      </w:r>
      <w:r w:rsidR="00236D80" w:rsidRPr="00547EE4">
        <w:rPr>
          <w:rFonts w:ascii="Arial" w:eastAsia="Times New Roman" w:hAnsi="Arial" w:cs="Arial"/>
          <w:color w:val="000000" w:themeColor="text1"/>
          <w:sz w:val="20"/>
          <w:szCs w:val="20"/>
          <w:lang w:eastAsia="en-CA"/>
        </w:rPr>
        <w:t>in 2015</w:t>
      </w:r>
      <w:r w:rsidR="00547EE4" w:rsidRPr="00547EE4">
        <w:rPr>
          <w:rFonts w:ascii="Arial" w:eastAsia="Times New Roman" w:hAnsi="Arial" w:cs="Arial"/>
          <w:color w:val="000000" w:themeColor="text1"/>
          <w:sz w:val="20"/>
          <w:szCs w:val="20"/>
          <w:lang w:eastAsia="en-CA"/>
        </w:rPr>
        <w:t xml:space="preserve">, though </w:t>
      </w:r>
      <w:r w:rsidR="0083777E" w:rsidRPr="00547EE4">
        <w:rPr>
          <w:rFonts w:ascii="Arial" w:eastAsia="Times New Roman" w:hAnsi="Arial" w:cs="Arial"/>
          <w:color w:val="000000" w:themeColor="text1"/>
          <w:sz w:val="20"/>
          <w:szCs w:val="20"/>
          <w:lang w:eastAsia="en-CA"/>
        </w:rPr>
        <w:t xml:space="preserve">existing retirees were not affected as indexing </w:t>
      </w:r>
      <w:r w:rsidR="00547EE4" w:rsidRPr="00547EE4">
        <w:rPr>
          <w:rFonts w:ascii="Arial" w:eastAsia="Times New Roman" w:hAnsi="Arial" w:cs="Arial"/>
          <w:color w:val="000000" w:themeColor="text1"/>
          <w:sz w:val="20"/>
          <w:szCs w:val="20"/>
          <w:lang w:eastAsia="en-CA"/>
        </w:rPr>
        <w:t xml:space="preserve">was </w:t>
      </w:r>
      <w:r w:rsidR="0083777E" w:rsidRPr="00547EE4">
        <w:rPr>
          <w:rFonts w:ascii="Arial" w:eastAsia="Times New Roman" w:hAnsi="Arial" w:cs="Arial"/>
          <w:color w:val="000000" w:themeColor="text1"/>
          <w:sz w:val="20"/>
          <w:szCs w:val="20"/>
          <w:lang w:eastAsia="en-CA"/>
        </w:rPr>
        <w:t>continued on past service.</w:t>
      </w:r>
      <w:r w:rsidRPr="00547EE4">
        <w:rPr>
          <w:rFonts w:ascii="Arial" w:eastAsia="Times New Roman" w:hAnsi="Arial" w:cs="Arial"/>
          <w:color w:val="000000" w:themeColor="text1"/>
          <w:sz w:val="20"/>
          <w:szCs w:val="20"/>
          <w:lang w:eastAsia="en-CA"/>
        </w:rPr>
        <w:t xml:space="preserve"> </w:t>
      </w:r>
      <w:r w:rsidR="00236D80" w:rsidRPr="00547EE4">
        <w:rPr>
          <w:rFonts w:ascii="Arial" w:eastAsia="Times New Roman" w:hAnsi="Arial" w:cs="Arial"/>
          <w:color w:val="000000" w:themeColor="text1"/>
          <w:sz w:val="20"/>
          <w:szCs w:val="20"/>
          <w:lang w:eastAsia="en-CA"/>
        </w:rPr>
        <w:t>Cost of living a</w:t>
      </w:r>
      <w:r w:rsidR="000A50EA" w:rsidRPr="00547EE4">
        <w:rPr>
          <w:rFonts w:ascii="Arial" w:eastAsia="Times New Roman" w:hAnsi="Arial" w:cs="Arial"/>
          <w:color w:val="000000" w:themeColor="text1"/>
          <w:sz w:val="20"/>
          <w:szCs w:val="20"/>
          <w:lang w:eastAsia="en-CA"/>
        </w:rPr>
        <w:t>djustments for Sas</w:t>
      </w:r>
      <w:r w:rsidR="009B1EC8" w:rsidRPr="00547EE4">
        <w:rPr>
          <w:rFonts w:ascii="Arial" w:eastAsia="Times New Roman" w:hAnsi="Arial" w:cs="Arial"/>
          <w:color w:val="000000" w:themeColor="text1"/>
          <w:sz w:val="20"/>
          <w:szCs w:val="20"/>
          <w:lang w:eastAsia="en-CA"/>
        </w:rPr>
        <w:t xml:space="preserve">katchewan’s old </w:t>
      </w:r>
      <w:r w:rsidR="009E6C27" w:rsidRPr="00547EE4">
        <w:rPr>
          <w:rFonts w:ascii="Arial" w:eastAsia="Times New Roman" w:hAnsi="Arial" w:cs="Arial"/>
          <w:color w:val="000000" w:themeColor="text1"/>
          <w:sz w:val="20"/>
          <w:szCs w:val="20"/>
          <w:lang w:eastAsia="en-CA"/>
        </w:rPr>
        <w:t>defined benefit</w:t>
      </w:r>
      <w:r w:rsidR="00BE01D6" w:rsidRPr="00547EE4">
        <w:rPr>
          <w:rFonts w:ascii="Arial" w:eastAsia="Times New Roman" w:hAnsi="Arial" w:cs="Arial"/>
          <w:color w:val="000000" w:themeColor="text1"/>
          <w:sz w:val="20"/>
          <w:szCs w:val="20"/>
          <w:lang w:eastAsia="en-CA"/>
        </w:rPr>
        <w:t xml:space="preserve"> </w:t>
      </w:r>
      <w:r w:rsidR="009B1EC8" w:rsidRPr="00547EE4">
        <w:rPr>
          <w:rFonts w:ascii="Arial" w:eastAsia="Times New Roman" w:hAnsi="Arial" w:cs="Arial"/>
          <w:color w:val="000000" w:themeColor="text1"/>
          <w:sz w:val="20"/>
          <w:szCs w:val="20"/>
          <w:lang w:eastAsia="en-CA"/>
        </w:rPr>
        <w:t xml:space="preserve">plan </w:t>
      </w:r>
      <w:r w:rsidR="009E6C27" w:rsidRPr="00547EE4">
        <w:rPr>
          <w:rFonts w:ascii="Arial" w:eastAsia="Times New Roman" w:hAnsi="Arial" w:cs="Arial"/>
          <w:color w:val="000000" w:themeColor="text1"/>
          <w:sz w:val="20"/>
          <w:szCs w:val="20"/>
          <w:lang w:eastAsia="en-CA"/>
        </w:rPr>
        <w:t xml:space="preserve">were inconsistently provided until 2007 when the Superannuation Act was amended to </w:t>
      </w:r>
      <w:r w:rsidR="000A50EA" w:rsidRPr="00547EE4">
        <w:rPr>
          <w:rFonts w:ascii="Arial" w:eastAsia="Times New Roman" w:hAnsi="Arial" w:cs="Arial"/>
          <w:color w:val="000000" w:themeColor="text1"/>
          <w:sz w:val="20"/>
          <w:szCs w:val="20"/>
          <w:lang w:eastAsia="en-CA"/>
        </w:rPr>
        <w:t xml:space="preserve">set </w:t>
      </w:r>
      <w:r w:rsidR="009E6C27" w:rsidRPr="00547EE4">
        <w:rPr>
          <w:rFonts w:ascii="Arial" w:eastAsia="Times New Roman" w:hAnsi="Arial" w:cs="Arial"/>
          <w:color w:val="000000" w:themeColor="text1"/>
          <w:sz w:val="20"/>
          <w:szCs w:val="20"/>
          <w:lang w:eastAsia="en-CA"/>
        </w:rPr>
        <w:t xml:space="preserve">them </w:t>
      </w:r>
      <w:r w:rsidR="000A50EA" w:rsidRPr="00547EE4">
        <w:rPr>
          <w:rFonts w:ascii="Arial" w:eastAsia="Times New Roman" w:hAnsi="Arial" w:cs="Arial"/>
          <w:color w:val="000000" w:themeColor="text1"/>
          <w:sz w:val="20"/>
          <w:szCs w:val="20"/>
          <w:lang w:eastAsia="en-CA"/>
        </w:rPr>
        <w:t>at</w:t>
      </w:r>
      <w:r w:rsidR="009B1EC8" w:rsidRPr="00547EE4">
        <w:rPr>
          <w:rFonts w:ascii="Arial" w:eastAsia="Times New Roman" w:hAnsi="Arial" w:cs="Arial"/>
          <w:color w:val="000000" w:themeColor="text1"/>
          <w:sz w:val="20"/>
          <w:szCs w:val="20"/>
          <w:lang w:eastAsia="en-CA"/>
        </w:rPr>
        <w:t xml:space="preserve"> </w:t>
      </w:r>
      <w:r w:rsidR="009B1EC8" w:rsidRPr="00547EE4">
        <w:rPr>
          <w:rFonts w:ascii="Arial" w:eastAsia="Times New Roman" w:hAnsi="Arial" w:cs="Arial"/>
          <w:sz w:val="20"/>
          <w:szCs w:val="20"/>
          <w:lang w:eastAsia="en-CA"/>
        </w:rPr>
        <w:t>70% of the annual change in the rate of inflation based on the Saskatchewan All Items Consumer Price Index</w:t>
      </w:r>
      <w:r w:rsidR="00697F04" w:rsidRPr="00547EE4">
        <w:rPr>
          <w:rFonts w:ascii="Arial" w:eastAsia="Times New Roman" w:hAnsi="Arial" w:cs="Arial"/>
          <w:sz w:val="20"/>
          <w:szCs w:val="20"/>
          <w:lang w:eastAsia="en-CA"/>
        </w:rPr>
        <w:t>.</w:t>
      </w:r>
    </w:p>
    <w:p w:rsidR="00053E5D" w:rsidRDefault="00053E5D" w:rsidP="00E96402">
      <w:pPr>
        <w:rPr>
          <w:rFonts w:ascii="Arial" w:hAnsi="Arial" w:cs="Arial"/>
          <w:b/>
          <w:i/>
          <w:sz w:val="20"/>
          <w:szCs w:val="20"/>
        </w:rPr>
      </w:pPr>
    </w:p>
    <w:p w:rsidR="00B32EB3" w:rsidRDefault="00E96402" w:rsidP="00E96402">
      <w:pPr>
        <w:rPr>
          <w:rFonts w:ascii="Arial" w:hAnsi="Arial" w:cs="Arial"/>
          <w:sz w:val="20"/>
          <w:szCs w:val="20"/>
        </w:rPr>
      </w:pPr>
      <w:r w:rsidRPr="00CE6670">
        <w:rPr>
          <w:rFonts w:ascii="Arial" w:hAnsi="Arial" w:cs="Arial"/>
          <w:b/>
          <w:i/>
          <w:sz w:val="20"/>
          <w:szCs w:val="20"/>
        </w:rPr>
        <w:t xml:space="preserve">Two provinces - New Brunswick and Nova Scotia - have established target benefit (TB) plans for </w:t>
      </w:r>
      <w:r w:rsidR="00DD146A" w:rsidRPr="00CE6670">
        <w:rPr>
          <w:rFonts w:ascii="Arial" w:hAnsi="Arial" w:cs="Arial"/>
          <w:b/>
          <w:i/>
          <w:sz w:val="20"/>
          <w:szCs w:val="20"/>
        </w:rPr>
        <w:t xml:space="preserve">their </w:t>
      </w:r>
      <w:r w:rsidRPr="00CE6670">
        <w:rPr>
          <w:rFonts w:ascii="Arial" w:hAnsi="Arial" w:cs="Arial"/>
          <w:b/>
          <w:i/>
          <w:sz w:val="20"/>
          <w:szCs w:val="20"/>
        </w:rPr>
        <w:t>public service employees</w:t>
      </w:r>
      <w:r w:rsidR="00BE01D6" w:rsidRPr="00CE6670">
        <w:rPr>
          <w:rFonts w:ascii="Arial" w:hAnsi="Arial" w:cs="Arial"/>
          <w:sz w:val="20"/>
          <w:szCs w:val="20"/>
        </w:rPr>
        <w:t>.</w:t>
      </w:r>
      <w:r w:rsidR="00DD146A" w:rsidRPr="00CE6670">
        <w:rPr>
          <w:rFonts w:ascii="Arial" w:hAnsi="Arial" w:cs="Arial"/>
          <w:sz w:val="20"/>
          <w:szCs w:val="20"/>
        </w:rPr>
        <w:t xml:space="preserve"> </w:t>
      </w:r>
      <w:r w:rsidRPr="00CE6670">
        <w:rPr>
          <w:rFonts w:ascii="Arial" w:hAnsi="Arial" w:cs="Arial"/>
          <w:sz w:val="20"/>
          <w:szCs w:val="20"/>
        </w:rPr>
        <w:t xml:space="preserve">In both </w:t>
      </w:r>
      <w:r w:rsidR="00DD146A" w:rsidRPr="00CE6670">
        <w:rPr>
          <w:rFonts w:ascii="Arial" w:hAnsi="Arial" w:cs="Arial"/>
          <w:sz w:val="20"/>
          <w:szCs w:val="20"/>
        </w:rPr>
        <w:t>provinces</w:t>
      </w:r>
      <w:r w:rsidRPr="00CE6670">
        <w:rPr>
          <w:rFonts w:ascii="Arial" w:hAnsi="Arial" w:cs="Arial"/>
          <w:sz w:val="20"/>
          <w:szCs w:val="20"/>
        </w:rPr>
        <w:t xml:space="preserve"> the change from a defined benefit plan to a target benefit plan was accompanied by extensive reforms intended to ensure effective management and minimize risk for members. Nova Scotia’s target benefit plan was established in 2012 through legislation specific to the public service pension plan. No accrued benefits were reduced or changed when plan was </w:t>
      </w:r>
      <w:r w:rsidRPr="00CE6670">
        <w:rPr>
          <w:rFonts w:ascii="Arial" w:hAnsi="Arial" w:cs="Arial"/>
          <w:sz w:val="20"/>
          <w:szCs w:val="20"/>
        </w:rPr>
        <w:lastRenderedPageBreak/>
        <w:t xml:space="preserve">established. </w:t>
      </w:r>
      <w:r w:rsidRPr="00CE6670">
        <w:rPr>
          <w:rFonts w:ascii="Arial" w:eastAsia="Times New Roman" w:hAnsi="Arial" w:cs="Arial"/>
          <w:sz w:val="20"/>
          <w:szCs w:val="20"/>
          <w:lang w:eastAsia="en-CA"/>
        </w:rPr>
        <w:t xml:space="preserve">New Brunswick’s public service pension plan was converted from a defined benefit plan to a </w:t>
      </w:r>
      <w:r w:rsidRPr="00CE6670">
        <w:rPr>
          <w:rFonts w:ascii="Arial" w:eastAsia="Times New Roman" w:hAnsi="Arial" w:cs="Arial"/>
          <w:b/>
          <w:i/>
          <w:sz w:val="20"/>
          <w:szCs w:val="20"/>
          <w:lang w:eastAsia="en-CA"/>
        </w:rPr>
        <w:t>shared risk plan</w:t>
      </w:r>
      <w:r w:rsidRPr="00CE6670">
        <w:rPr>
          <w:rFonts w:ascii="Arial" w:eastAsia="Times New Roman" w:hAnsi="Arial" w:cs="Arial"/>
          <w:sz w:val="20"/>
          <w:szCs w:val="20"/>
          <w:lang w:eastAsia="en-CA"/>
        </w:rPr>
        <w:t xml:space="preserve"> (a type of target benefit plan) effective January 1, 2014. </w:t>
      </w:r>
      <w:r w:rsidRPr="00CE6670">
        <w:rPr>
          <w:rFonts w:ascii="Arial" w:hAnsi="Arial" w:cs="Arial"/>
          <w:sz w:val="20"/>
          <w:szCs w:val="20"/>
        </w:rPr>
        <w:t xml:space="preserve">New Brunswick is the only province </w:t>
      </w:r>
      <w:r w:rsidR="00DD146A" w:rsidRPr="00CE6670">
        <w:rPr>
          <w:rFonts w:ascii="Arial" w:hAnsi="Arial" w:cs="Arial"/>
          <w:sz w:val="20"/>
          <w:szCs w:val="20"/>
        </w:rPr>
        <w:t>to pass</w:t>
      </w:r>
      <w:r w:rsidRPr="00CE6670">
        <w:rPr>
          <w:rFonts w:ascii="Arial" w:hAnsi="Arial" w:cs="Arial"/>
          <w:sz w:val="20"/>
          <w:szCs w:val="20"/>
        </w:rPr>
        <w:t xml:space="preserve"> legislation (2012) that permits accrued benefits to be converted to shared risk or target benefits when a plan is </w:t>
      </w:r>
      <w:r w:rsidRPr="007C0306">
        <w:rPr>
          <w:rFonts w:ascii="Arial" w:hAnsi="Arial" w:cs="Arial"/>
          <w:sz w:val="20"/>
          <w:szCs w:val="20"/>
        </w:rPr>
        <w:t xml:space="preserve">converted. (Steele et al. 2014) Though accrued benefits were not reduced when the new public service plan was established future benefits </w:t>
      </w:r>
      <w:r w:rsidR="00004389" w:rsidRPr="007C0306">
        <w:rPr>
          <w:rFonts w:ascii="Arial" w:hAnsi="Arial" w:cs="Arial"/>
          <w:sz w:val="20"/>
          <w:szCs w:val="20"/>
        </w:rPr>
        <w:t>may be affected if plan targets are not achieved</w:t>
      </w:r>
      <w:r w:rsidRPr="007C0306">
        <w:rPr>
          <w:rFonts w:ascii="Arial" w:hAnsi="Arial" w:cs="Arial"/>
          <w:sz w:val="20"/>
          <w:szCs w:val="20"/>
        </w:rPr>
        <w:t xml:space="preserve">. </w:t>
      </w:r>
      <w:r w:rsidR="000876F7" w:rsidRPr="007C0306">
        <w:rPr>
          <w:rFonts w:ascii="Arial" w:eastAsia="Times New Roman" w:hAnsi="Arial" w:cs="Arial"/>
          <w:sz w:val="20"/>
          <w:szCs w:val="20"/>
          <w:lang w:eastAsia="en-CA"/>
        </w:rPr>
        <w:t xml:space="preserve">Three lawsuits related to the </w:t>
      </w:r>
      <w:r w:rsidR="00BA62A5" w:rsidRPr="007C0306">
        <w:rPr>
          <w:rFonts w:ascii="Arial" w:eastAsia="Times New Roman" w:hAnsi="Arial" w:cs="Arial"/>
          <w:sz w:val="20"/>
          <w:szCs w:val="20"/>
          <w:lang w:eastAsia="en-CA"/>
        </w:rPr>
        <w:t xml:space="preserve">New Brunswick </w:t>
      </w:r>
      <w:r w:rsidR="000876F7" w:rsidRPr="007C0306">
        <w:rPr>
          <w:rFonts w:ascii="Arial" w:eastAsia="Times New Roman" w:hAnsi="Arial" w:cs="Arial"/>
          <w:sz w:val="20"/>
          <w:szCs w:val="20"/>
          <w:lang w:eastAsia="en-CA"/>
        </w:rPr>
        <w:t>conversion were</w:t>
      </w:r>
      <w:r w:rsidR="000876F7" w:rsidRPr="00CE6670">
        <w:rPr>
          <w:rFonts w:ascii="Arial" w:eastAsia="Times New Roman" w:hAnsi="Arial" w:cs="Arial"/>
          <w:sz w:val="20"/>
          <w:szCs w:val="20"/>
          <w:lang w:eastAsia="en-CA"/>
        </w:rPr>
        <w:t xml:space="preserve"> launched –two involving arguments under the Charter of Rights and Freedoms and on</w:t>
      </w:r>
      <w:r w:rsidR="00BA62A5">
        <w:rPr>
          <w:rFonts w:ascii="Arial" w:eastAsia="Times New Roman" w:hAnsi="Arial" w:cs="Arial"/>
          <w:sz w:val="20"/>
          <w:szCs w:val="20"/>
          <w:lang w:eastAsia="en-CA"/>
        </w:rPr>
        <w:t>e</w:t>
      </w:r>
      <w:r w:rsidR="000876F7" w:rsidRPr="00CE6670">
        <w:rPr>
          <w:rFonts w:ascii="Arial" w:eastAsia="Times New Roman" w:hAnsi="Arial" w:cs="Arial"/>
          <w:sz w:val="20"/>
          <w:szCs w:val="20"/>
          <w:lang w:eastAsia="en-CA"/>
        </w:rPr>
        <w:t xml:space="preserve"> seeking damages based on breach of fiduciary duty. (</w:t>
      </w:r>
      <w:proofErr w:type="spellStart"/>
      <w:r w:rsidR="000876F7" w:rsidRPr="00CE6670">
        <w:rPr>
          <w:rFonts w:ascii="Arial" w:eastAsia="Times New Roman" w:hAnsi="Arial" w:cs="Arial"/>
          <w:sz w:val="20"/>
          <w:szCs w:val="20"/>
          <w:lang w:eastAsia="en-CA"/>
        </w:rPr>
        <w:t>Melnitzer</w:t>
      </w:r>
      <w:proofErr w:type="spellEnd"/>
      <w:r w:rsidR="000876F7" w:rsidRPr="00CE6670">
        <w:rPr>
          <w:rFonts w:ascii="Arial" w:eastAsia="Times New Roman" w:hAnsi="Arial" w:cs="Arial"/>
          <w:sz w:val="20"/>
          <w:szCs w:val="20"/>
          <w:lang w:eastAsia="en-CA"/>
        </w:rPr>
        <w:t xml:space="preserve"> 2016)</w:t>
      </w:r>
    </w:p>
    <w:p w:rsidR="00E96402" w:rsidRPr="00CE6670" w:rsidRDefault="007F502B" w:rsidP="00E96402">
      <w:pPr>
        <w:rPr>
          <w:rFonts w:ascii="Arial" w:hAnsi="Arial" w:cs="Arial"/>
          <w:sz w:val="20"/>
          <w:szCs w:val="20"/>
        </w:rPr>
      </w:pPr>
      <w:r w:rsidRPr="00CE6670">
        <w:rPr>
          <w:rFonts w:ascii="Arial" w:hAnsi="Arial" w:cs="Arial"/>
          <w:sz w:val="20"/>
          <w:szCs w:val="20"/>
        </w:rPr>
        <w:t>No other governments have proposed convert</w:t>
      </w:r>
      <w:r w:rsidR="00B32EB3">
        <w:rPr>
          <w:rFonts w:ascii="Arial" w:hAnsi="Arial" w:cs="Arial"/>
          <w:sz w:val="20"/>
          <w:szCs w:val="20"/>
        </w:rPr>
        <w:t>ing</w:t>
      </w:r>
      <w:r w:rsidRPr="00CE6670">
        <w:rPr>
          <w:rFonts w:ascii="Arial" w:hAnsi="Arial" w:cs="Arial"/>
          <w:sz w:val="20"/>
          <w:szCs w:val="20"/>
        </w:rPr>
        <w:t xml:space="preserve"> public service defined benefit plans to target benefit plans, </w:t>
      </w:r>
      <w:r w:rsidR="00E96402" w:rsidRPr="00CE6670">
        <w:rPr>
          <w:rFonts w:ascii="Arial" w:hAnsi="Arial" w:cs="Arial"/>
          <w:sz w:val="20"/>
          <w:szCs w:val="20"/>
        </w:rPr>
        <w:t xml:space="preserve">though some have amended (BC, AB) or are planning </w:t>
      </w:r>
      <w:r w:rsidR="00B32EB3">
        <w:rPr>
          <w:rFonts w:ascii="Arial" w:hAnsi="Arial" w:cs="Arial"/>
          <w:sz w:val="20"/>
          <w:szCs w:val="20"/>
        </w:rPr>
        <w:t xml:space="preserve">to </w:t>
      </w:r>
      <w:r w:rsidR="00E96402" w:rsidRPr="00CE6670">
        <w:rPr>
          <w:rFonts w:ascii="Arial" w:hAnsi="Arial" w:cs="Arial"/>
          <w:sz w:val="20"/>
          <w:szCs w:val="20"/>
        </w:rPr>
        <w:t xml:space="preserve">amend </w:t>
      </w:r>
      <w:r w:rsidRPr="00CE6670">
        <w:rPr>
          <w:rFonts w:ascii="Arial" w:hAnsi="Arial" w:cs="Arial"/>
          <w:sz w:val="20"/>
          <w:szCs w:val="20"/>
        </w:rPr>
        <w:t>(ON, NS) provincial</w:t>
      </w:r>
      <w:r w:rsidR="00E96402" w:rsidRPr="00CE6670">
        <w:rPr>
          <w:rFonts w:ascii="Arial" w:hAnsi="Arial" w:cs="Arial"/>
          <w:sz w:val="20"/>
          <w:szCs w:val="20"/>
        </w:rPr>
        <w:t xml:space="preserve"> benefit standards legislation to allow them in single employer </w:t>
      </w:r>
      <w:r w:rsidR="00B32EB3">
        <w:rPr>
          <w:rFonts w:ascii="Arial" w:hAnsi="Arial" w:cs="Arial"/>
          <w:sz w:val="20"/>
          <w:szCs w:val="20"/>
        </w:rPr>
        <w:t>situations</w:t>
      </w:r>
      <w:r w:rsidR="00E96402" w:rsidRPr="00CE6670">
        <w:rPr>
          <w:rFonts w:ascii="Arial" w:hAnsi="Arial" w:cs="Arial"/>
          <w:sz w:val="20"/>
          <w:szCs w:val="20"/>
        </w:rPr>
        <w:t>. T</w:t>
      </w:r>
      <w:r w:rsidR="00E96402" w:rsidRPr="00CE6670">
        <w:rPr>
          <w:rFonts w:ascii="Arial" w:hAnsi="Arial" w:cs="Arial"/>
          <w:color w:val="000000" w:themeColor="text1"/>
          <w:sz w:val="20"/>
          <w:szCs w:val="20"/>
        </w:rPr>
        <w:t xml:space="preserve">he federal government announced changes in 2016 that will allow federally regulated employers to offer target benefit plans, but they will not allow the conversion of existing defined benefit plans to target benefit plans. </w:t>
      </w:r>
      <w:r w:rsidR="00E96402" w:rsidRPr="00CE6670">
        <w:rPr>
          <w:rFonts w:ascii="Arial" w:hAnsi="Arial" w:cs="Arial"/>
          <w:sz w:val="20"/>
          <w:szCs w:val="20"/>
        </w:rPr>
        <w:t>The Saskatchewan Teachers Retirement Plan</w:t>
      </w:r>
      <w:r w:rsidR="00B32EB3">
        <w:rPr>
          <w:rFonts w:ascii="Arial" w:hAnsi="Arial" w:cs="Arial"/>
          <w:sz w:val="20"/>
          <w:szCs w:val="20"/>
        </w:rPr>
        <w:t xml:space="preserve"> (1991)</w:t>
      </w:r>
      <w:r w:rsidR="00E96402" w:rsidRPr="00CE6670">
        <w:rPr>
          <w:rFonts w:ascii="Arial" w:hAnsi="Arial" w:cs="Arial"/>
          <w:sz w:val="20"/>
          <w:szCs w:val="20"/>
        </w:rPr>
        <w:t xml:space="preserve"> is an example of a target benefit plan </w:t>
      </w:r>
      <w:r w:rsidR="00B32EB3">
        <w:rPr>
          <w:rFonts w:ascii="Arial" w:hAnsi="Arial" w:cs="Arial"/>
          <w:sz w:val="20"/>
          <w:szCs w:val="20"/>
        </w:rPr>
        <w:t xml:space="preserve">elsewhere </w:t>
      </w:r>
      <w:r w:rsidR="00E96402" w:rsidRPr="00CE6670">
        <w:rPr>
          <w:rFonts w:ascii="Arial" w:hAnsi="Arial" w:cs="Arial"/>
          <w:sz w:val="20"/>
          <w:szCs w:val="20"/>
        </w:rPr>
        <w:t xml:space="preserve">in the public sector. </w:t>
      </w:r>
    </w:p>
    <w:p w:rsidR="00A52C02" w:rsidRDefault="00F758BE" w:rsidP="00F758BE">
      <w:pPr>
        <w:rPr>
          <w:rFonts w:ascii="Arial" w:eastAsia="Times New Roman" w:hAnsi="Arial" w:cs="Arial"/>
          <w:sz w:val="20"/>
          <w:szCs w:val="20"/>
          <w:lang w:eastAsia="en-CA"/>
        </w:rPr>
      </w:pPr>
      <w:r w:rsidRPr="00CE6670">
        <w:rPr>
          <w:rFonts w:ascii="Arial" w:hAnsi="Arial" w:cs="Arial"/>
          <w:b/>
          <w:i/>
          <w:sz w:val="20"/>
          <w:szCs w:val="20"/>
        </w:rPr>
        <w:t>Saskatchewan is the only province that has moved to a defined contribution (DC) plan for most of its public sector workers</w:t>
      </w:r>
      <w:r w:rsidRPr="00CE6670">
        <w:rPr>
          <w:rFonts w:ascii="Arial" w:hAnsi="Arial" w:cs="Arial"/>
          <w:i/>
          <w:sz w:val="20"/>
          <w:szCs w:val="20"/>
        </w:rPr>
        <w:t xml:space="preserve"> (except teachers).</w:t>
      </w:r>
      <w:r w:rsidRPr="00CE6670">
        <w:rPr>
          <w:rFonts w:ascii="Arial" w:hAnsi="Arial" w:cs="Arial"/>
          <w:sz w:val="20"/>
          <w:szCs w:val="20"/>
        </w:rPr>
        <w:t xml:space="preserve"> The DC plan was introduced forty years ago. The rationale at the time was related to long vesting times</w:t>
      </w:r>
      <w:r w:rsidR="007F502B" w:rsidRPr="00CE6670">
        <w:rPr>
          <w:rFonts w:ascii="Arial" w:hAnsi="Arial" w:cs="Arial"/>
          <w:sz w:val="20"/>
          <w:szCs w:val="20"/>
        </w:rPr>
        <w:t>,</w:t>
      </w:r>
      <w:r w:rsidRPr="00CE6670">
        <w:rPr>
          <w:rFonts w:ascii="Arial" w:hAnsi="Arial" w:cs="Arial"/>
          <w:sz w:val="20"/>
          <w:szCs w:val="20"/>
        </w:rPr>
        <w:t xml:space="preserve"> </w:t>
      </w:r>
      <w:r w:rsidR="007C0306">
        <w:rPr>
          <w:rFonts w:ascii="Arial" w:hAnsi="Arial" w:cs="Arial"/>
          <w:sz w:val="20"/>
          <w:szCs w:val="20"/>
        </w:rPr>
        <w:t>though</w:t>
      </w:r>
      <w:r w:rsidRPr="00CE6670">
        <w:rPr>
          <w:rFonts w:ascii="Arial" w:hAnsi="Arial" w:cs="Arial"/>
          <w:sz w:val="20"/>
          <w:szCs w:val="20"/>
        </w:rPr>
        <w:t xml:space="preserve"> sustainability</w:t>
      </w:r>
      <w:r w:rsidR="007C0306">
        <w:rPr>
          <w:rFonts w:ascii="Arial" w:hAnsi="Arial" w:cs="Arial"/>
          <w:sz w:val="20"/>
          <w:szCs w:val="20"/>
        </w:rPr>
        <w:t xml:space="preserve"> was also a factor</w:t>
      </w:r>
      <w:r w:rsidRPr="00CE6670">
        <w:rPr>
          <w:rFonts w:ascii="Arial" w:hAnsi="Arial" w:cs="Arial"/>
          <w:sz w:val="20"/>
          <w:szCs w:val="20"/>
        </w:rPr>
        <w:t xml:space="preserve">. </w:t>
      </w:r>
      <w:r w:rsidR="00F46062">
        <w:rPr>
          <w:rFonts w:ascii="Arial" w:hAnsi="Arial" w:cs="Arial"/>
          <w:sz w:val="20"/>
          <w:szCs w:val="20"/>
        </w:rPr>
        <w:t xml:space="preserve">(Brown and </w:t>
      </w:r>
      <w:proofErr w:type="spellStart"/>
      <w:r w:rsidR="00F46062">
        <w:rPr>
          <w:rFonts w:ascii="Arial" w:hAnsi="Arial" w:cs="Arial"/>
          <w:sz w:val="20"/>
          <w:szCs w:val="20"/>
        </w:rPr>
        <w:t>McInnes</w:t>
      </w:r>
      <w:proofErr w:type="spellEnd"/>
      <w:r w:rsidR="00F46062">
        <w:rPr>
          <w:rFonts w:ascii="Arial" w:hAnsi="Arial" w:cs="Arial"/>
          <w:sz w:val="20"/>
          <w:szCs w:val="20"/>
        </w:rPr>
        <w:t xml:space="preserve"> 2014, p.32) </w:t>
      </w:r>
      <w:r w:rsidR="00B35361" w:rsidRPr="00CE6670">
        <w:rPr>
          <w:rFonts w:ascii="Arial" w:hAnsi="Arial" w:cs="Arial"/>
          <w:sz w:val="20"/>
          <w:szCs w:val="20"/>
          <w:lang w:eastAsia="en-CA"/>
        </w:rPr>
        <w:t xml:space="preserve">As in all defined contribution (DC) plans, the investment risk in the new plan is borne by the plan member, and no specific benefit is guaranteed upon retirement. </w:t>
      </w:r>
      <w:r w:rsidRPr="00CE6670">
        <w:rPr>
          <w:rFonts w:ascii="Arial" w:hAnsi="Arial" w:cs="Arial"/>
          <w:sz w:val="20"/>
          <w:szCs w:val="20"/>
        </w:rPr>
        <w:t>When the new plan was established in 1977, existing employees were given the option of remaining in the old defined benefit (DB) plan, which continues to operate in parallel.</w:t>
      </w:r>
      <w:r w:rsidR="00B35361" w:rsidRPr="00CE6670">
        <w:rPr>
          <w:rFonts w:ascii="Arial" w:hAnsi="Arial" w:cs="Arial"/>
          <w:sz w:val="20"/>
          <w:szCs w:val="20"/>
        </w:rPr>
        <w:t xml:space="preserve"> </w:t>
      </w:r>
      <w:r w:rsidR="00EA7B30">
        <w:rPr>
          <w:rFonts w:ascii="Arial" w:hAnsi="Arial" w:cs="Arial"/>
          <w:sz w:val="20"/>
          <w:szCs w:val="20"/>
        </w:rPr>
        <w:t>Only now can the province start to project a decline in annual benefit payments</w:t>
      </w:r>
      <w:r w:rsidR="00B32EB3">
        <w:rPr>
          <w:rFonts w:ascii="Arial" w:hAnsi="Arial" w:cs="Arial"/>
          <w:sz w:val="20"/>
          <w:szCs w:val="20"/>
        </w:rPr>
        <w:t xml:space="preserve"> for the old plan</w:t>
      </w:r>
      <w:r w:rsidR="00F46062">
        <w:rPr>
          <w:rFonts w:ascii="Arial" w:hAnsi="Arial" w:cs="Arial"/>
          <w:sz w:val="20"/>
          <w:szCs w:val="20"/>
        </w:rPr>
        <w:t xml:space="preserve">. </w:t>
      </w:r>
      <w:r w:rsidR="00B32EB3">
        <w:rPr>
          <w:rFonts w:ascii="Arial" w:hAnsi="Arial" w:cs="Arial"/>
          <w:sz w:val="20"/>
          <w:szCs w:val="20"/>
        </w:rPr>
        <w:t>(Ibid. p.33)</w:t>
      </w:r>
      <w:r w:rsidRPr="00CE6670">
        <w:rPr>
          <w:rFonts w:ascii="Arial" w:eastAsia="Times New Roman" w:hAnsi="Arial" w:cs="Arial"/>
          <w:sz w:val="20"/>
          <w:szCs w:val="20"/>
          <w:lang w:eastAsia="en-CA"/>
        </w:rPr>
        <w:t xml:space="preserve">. </w:t>
      </w:r>
    </w:p>
    <w:p w:rsidR="00F758BE" w:rsidRDefault="003617D2" w:rsidP="00F758BE">
      <w:pPr>
        <w:rPr>
          <w:rFonts w:ascii="Arial" w:hAnsi="Arial" w:cs="Arial"/>
          <w:color w:val="000000" w:themeColor="text1"/>
          <w:sz w:val="20"/>
          <w:szCs w:val="20"/>
          <w:highlight w:val="yellow"/>
        </w:rPr>
      </w:pPr>
      <w:r w:rsidRPr="00CE6670">
        <w:rPr>
          <w:rFonts w:ascii="Arial" w:hAnsi="Arial" w:cs="Arial"/>
          <w:sz w:val="20"/>
          <w:szCs w:val="20"/>
        </w:rPr>
        <w:t xml:space="preserve">Why have defined contribution (DC) plans not been widely adopted in Canada’s public sector? </w:t>
      </w:r>
      <w:r w:rsidR="00F758BE" w:rsidRPr="00CE6670">
        <w:rPr>
          <w:rFonts w:ascii="Arial" w:hAnsi="Arial" w:cs="Arial"/>
          <w:sz w:val="20"/>
          <w:szCs w:val="20"/>
        </w:rPr>
        <w:t xml:space="preserve">A recent study </w:t>
      </w:r>
      <w:r w:rsidRPr="00CE6670">
        <w:rPr>
          <w:rFonts w:ascii="Arial" w:hAnsi="Arial" w:cs="Arial"/>
          <w:sz w:val="20"/>
          <w:szCs w:val="20"/>
        </w:rPr>
        <w:t>funded by</w:t>
      </w:r>
      <w:r w:rsidR="00F758BE" w:rsidRPr="00CE6670">
        <w:rPr>
          <w:rFonts w:ascii="Arial" w:hAnsi="Arial" w:cs="Arial"/>
          <w:sz w:val="20"/>
          <w:szCs w:val="20"/>
        </w:rPr>
        <w:t xml:space="preserve"> the Canadian Public Pension Leadership Council </w:t>
      </w:r>
      <w:r w:rsidRPr="00CE6670">
        <w:rPr>
          <w:rFonts w:ascii="Arial" w:hAnsi="Arial" w:cs="Arial"/>
          <w:color w:val="000000" w:themeColor="text1"/>
          <w:sz w:val="20"/>
          <w:szCs w:val="20"/>
        </w:rPr>
        <w:t xml:space="preserve">examined the literature and experience in jurisdictions where large public sector DB plans have been converted to DC plans and modeled the potential quantitative impacts of </w:t>
      </w:r>
      <w:r w:rsidR="00DE7FA0">
        <w:rPr>
          <w:rFonts w:ascii="Arial" w:hAnsi="Arial" w:cs="Arial"/>
          <w:color w:val="000000" w:themeColor="text1"/>
          <w:sz w:val="20"/>
          <w:szCs w:val="20"/>
        </w:rPr>
        <w:t xml:space="preserve">such a </w:t>
      </w:r>
      <w:r w:rsidRPr="00CE6670">
        <w:rPr>
          <w:rFonts w:ascii="Arial" w:hAnsi="Arial" w:cs="Arial"/>
          <w:color w:val="000000" w:themeColor="text1"/>
          <w:sz w:val="20"/>
          <w:szCs w:val="20"/>
        </w:rPr>
        <w:t>conver</w:t>
      </w:r>
      <w:r w:rsidR="00DE7FA0">
        <w:rPr>
          <w:rFonts w:ascii="Arial" w:hAnsi="Arial" w:cs="Arial"/>
          <w:color w:val="000000" w:themeColor="text1"/>
          <w:sz w:val="20"/>
          <w:szCs w:val="20"/>
        </w:rPr>
        <w:t>sion</w:t>
      </w:r>
      <w:r w:rsidRPr="00CE6670">
        <w:rPr>
          <w:rFonts w:ascii="Arial" w:hAnsi="Arial" w:cs="Arial"/>
          <w:color w:val="000000" w:themeColor="text1"/>
          <w:sz w:val="20"/>
          <w:szCs w:val="20"/>
        </w:rPr>
        <w:t xml:space="preserve">. </w:t>
      </w:r>
      <w:r w:rsidR="00F758BE" w:rsidRPr="00CE6670">
        <w:rPr>
          <w:rFonts w:ascii="Arial" w:hAnsi="Arial" w:cs="Arial"/>
          <w:sz w:val="20"/>
          <w:szCs w:val="20"/>
        </w:rPr>
        <w:t xml:space="preserve">(Brown and </w:t>
      </w:r>
      <w:proofErr w:type="spellStart"/>
      <w:r w:rsidR="00F758BE" w:rsidRPr="00CE6670">
        <w:rPr>
          <w:rFonts w:ascii="Arial" w:hAnsi="Arial" w:cs="Arial"/>
          <w:sz w:val="20"/>
          <w:szCs w:val="20"/>
        </w:rPr>
        <w:t>McInnes</w:t>
      </w:r>
      <w:proofErr w:type="spellEnd"/>
      <w:r w:rsidR="00F758BE" w:rsidRPr="00CE6670">
        <w:rPr>
          <w:rFonts w:ascii="Arial" w:hAnsi="Arial" w:cs="Arial"/>
          <w:sz w:val="20"/>
          <w:szCs w:val="20"/>
        </w:rPr>
        <w:t xml:space="preserve"> 2014) </w:t>
      </w:r>
      <w:r w:rsidRPr="00CE6670">
        <w:rPr>
          <w:rFonts w:ascii="Arial" w:hAnsi="Arial" w:cs="Arial"/>
          <w:sz w:val="20"/>
          <w:szCs w:val="20"/>
        </w:rPr>
        <w:t>The study</w:t>
      </w:r>
      <w:r w:rsidR="00F758BE" w:rsidRPr="00CE6670">
        <w:rPr>
          <w:rFonts w:ascii="Arial" w:hAnsi="Arial" w:cs="Arial"/>
          <w:color w:val="000000" w:themeColor="text1"/>
          <w:sz w:val="20"/>
          <w:szCs w:val="20"/>
        </w:rPr>
        <w:t xml:space="preserve"> observes that the </w:t>
      </w:r>
      <w:r w:rsidR="00F758BE" w:rsidRPr="00CE6670">
        <w:rPr>
          <w:rFonts w:ascii="Arial" w:hAnsi="Arial" w:cs="Arial"/>
          <w:sz w:val="20"/>
          <w:szCs w:val="20"/>
        </w:rPr>
        <w:t>“perceived advantages to closing DB pension plans in the private sector do not translate directly into the public sector” where there are more stakeholders to consider and the primary focus is not profit.</w:t>
      </w:r>
      <w:r w:rsidR="00F758BE" w:rsidRPr="00CE6670">
        <w:rPr>
          <w:rFonts w:ascii="Arial" w:hAnsi="Arial" w:cs="Arial"/>
          <w:color w:val="000000" w:themeColor="text1"/>
          <w:sz w:val="20"/>
          <w:szCs w:val="20"/>
        </w:rPr>
        <w:t xml:space="preserve"> It </w:t>
      </w:r>
      <w:r w:rsidRPr="00CE6670">
        <w:rPr>
          <w:rFonts w:ascii="Arial" w:hAnsi="Arial" w:cs="Arial"/>
          <w:color w:val="000000" w:themeColor="text1"/>
          <w:sz w:val="20"/>
          <w:szCs w:val="20"/>
        </w:rPr>
        <w:t xml:space="preserve">also </w:t>
      </w:r>
      <w:r w:rsidR="00F758BE" w:rsidRPr="00CE6670">
        <w:rPr>
          <w:rFonts w:ascii="Arial" w:hAnsi="Arial" w:cs="Arial"/>
          <w:color w:val="000000" w:themeColor="text1"/>
          <w:sz w:val="20"/>
          <w:szCs w:val="20"/>
        </w:rPr>
        <w:t xml:space="preserve">concludes that “shifting to a DC plan actually increases the cost of delivering a comparable pension </w:t>
      </w:r>
      <w:r w:rsidR="00F758BE" w:rsidRPr="007637A1">
        <w:rPr>
          <w:rFonts w:ascii="Arial" w:hAnsi="Arial" w:cs="Arial"/>
          <w:color w:val="000000" w:themeColor="text1"/>
          <w:sz w:val="20"/>
          <w:szCs w:val="20"/>
        </w:rPr>
        <w:t xml:space="preserve">benefit.” </w:t>
      </w:r>
      <w:r w:rsidRPr="007637A1">
        <w:rPr>
          <w:rFonts w:ascii="Arial" w:hAnsi="Arial" w:cs="Arial"/>
          <w:color w:val="000000" w:themeColor="text1"/>
          <w:sz w:val="20"/>
          <w:szCs w:val="20"/>
        </w:rPr>
        <w:t xml:space="preserve">Furthermore, </w:t>
      </w:r>
      <w:r w:rsidR="00F758BE" w:rsidRPr="007637A1">
        <w:rPr>
          <w:rFonts w:ascii="Arial" w:hAnsi="Arial" w:cs="Arial"/>
          <w:color w:val="000000" w:themeColor="text1"/>
          <w:sz w:val="20"/>
          <w:szCs w:val="20"/>
        </w:rPr>
        <w:t>conversion to a DC plan does nothing to address an existing unfunded liability, instead making the old plan</w:t>
      </w:r>
      <w:r w:rsidR="00341E1E" w:rsidRPr="007637A1">
        <w:rPr>
          <w:rFonts w:ascii="Arial" w:hAnsi="Arial" w:cs="Arial"/>
          <w:color w:val="000000" w:themeColor="text1"/>
          <w:sz w:val="20"/>
          <w:szCs w:val="20"/>
        </w:rPr>
        <w:t>, which continues to run in parallel,</w:t>
      </w:r>
      <w:r w:rsidR="00F758BE" w:rsidRPr="007637A1">
        <w:rPr>
          <w:rFonts w:ascii="Arial" w:hAnsi="Arial" w:cs="Arial"/>
          <w:color w:val="000000" w:themeColor="text1"/>
          <w:sz w:val="20"/>
          <w:szCs w:val="20"/>
        </w:rPr>
        <w:t xml:space="preserve"> more difficult and risky to manage. (Ibid. </w:t>
      </w:r>
      <w:r w:rsidRPr="007637A1">
        <w:rPr>
          <w:rFonts w:ascii="Arial" w:hAnsi="Arial" w:cs="Arial"/>
          <w:color w:val="000000" w:themeColor="text1"/>
          <w:sz w:val="20"/>
          <w:szCs w:val="20"/>
        </w:rPr>
        <w:t>p</w:t>
      </w:r>
      <w:r w:rsidR="00DE7FA0" w:rsidRPr="007637A1">
        <w:rPr>
          <w:rFonts w:ascii="Arial" w:hAnsi="Arial" w:cs="Arial"/>
          <w:color w:val="000000" w:themeColor="text1"/>
          <w:sz w:val="20"/>
          <w:szCs w:val="20"/>
        </w:rPr>
        <w:t>.1</w:t>
      </w:r>
      <w:r w:rsidR="00F758BE" w:rsidRPr="007637A1">
        <w:rPr>
          <w:rFonts w:ascii="Arial" w:hAnsi="Arial" w:cs="Arial"/>
          <w:color w:val="000000" w:themeColor="text1"/>
          <w:sz w:val="20"/>
          <w:szCs w:val="20"/>
        </w:rPr>
        <w:t>-</w:t>
      </w:r>
      <w:r w:rsidR="00DE7FA0" w:rsidRPr="007637A1">
        <w:rPr>
          <w:rFonts w:ascii="Arial" w:hAnsi="Arial" w:cs="Arial"/>
          <w:color w:val="000000" w:themeColor="text1"/>
          <w:sz w:val="20"/>
          <w:szCs w:val="20"/>
        </w:rPr>
        <w:t>2</w:t>
      </w:r>
      <w:r w:rsidR="00F758BE" w:rsidRPr="007637A1">
        <w:rPr>
          <w:rFonts w:ascii="Arial" w:hAnsi="Arial" w:cs="Arial"/>
          <w:color w:val="000000" w:themeColor="text1"/>
          <w:sz w:val="20"/>
          <w:szCs w:val="20"/>
        </w:rPr>
        <w:t>)</w:t>
      </w:r>
    </w:p>
    <w:p w:rsidR="00B5616C" w:rsidRDefault="00B5616C" w:rsidP="00B5616C">
      <w:pPr>
        <w:spacing w:after="240"/>
        <w:rPr>
          <w:rFonts w:ascii="Arial" w:hAnsi="Arial" w:cs="Arial"/>
          <w:b/>
          <w:sz w:val="24"/>
          <w:szCs w:val="24"/>
        </w:rPr>
      </w:pPr>
      <w:r w:rsidRPr="00B5616C">
        <w:rPr>
          <w:rFonts w:ascii="Arial" w:hAnsi="Arial" w:cs="Arial"/>
          <w:b/>
          <w:sz w:val="24"/>
          <w:szCs w:val="24"/>
        </w:rPr>
        <w:t>R</w:t>
      </w:r>
      <w:r>
        <w:rPr>
          <w:rFonts w:ascii="Arial" w:hAnsi="Arial" w:cs="Arial"/>
          <w:b/>
          <w:sz w:val="24"/>
          <w:szCs w:val="24"/>
        </w:rPr>
        <w:t>eferences (Summary)</w:t>
      </w:r>
    </w:p>
    <w:p w:rsidR="00B5616C" w:rsidRPr="00B5616C" w:rsidRDefault="00B5616C" w:rsidP="00B5616C">
      <w:pPr>
        <w:spacing w:after="0"/>
        <w:rPr>
          <w:rFonts w:ascii="Arial" w:hAnsi="Arial" w:cs="Arial"/>
          <w:sz w:val="20"/>
          <w:szCs w:val="20"/>
        </w:rPr>
      </w:pPr>
      <w:proofErr w:type="gramStart"/>
      <w:r w:rsidRPr="00B5616C">
        <w:rPr>
          <w:rFonts w:ascii="Arial" w:hAnsi="Arial" w:cs="Arial"/>
          <w:sz w:val="20"/>
          <w:szCs w:val="20"/>
        </w:rPr>
        <w:t>BC Public Service Pension Board of Trustees.</w:t>
      </w:r>
      <w:proofErr w:type="gramEnd"/>
      <w:r w:rsidRPr="00B5616C">
        <w:rPr>
          <w:rFonts w:ascii="Arial" w:hAnsi="Arial" w:cs="Arial"/>
          <w:sz w:val="20"/>
          <w:szCs w:val="20"/>
        </w:rPr>
        <w:t xml:space="preserve"> 2015. 2015 </w:t>
      </w:r>
      <w:r w:rsidRPr="00B5616C">
        <w:rPr>
          <w:rFonts w:ascii="Arial" w:hAnsi="Arial" w:cs="Arial"/>
          <w:i/>
          <w:sz w:val="20"/>
          <w:szCs w:val="20"/>
        </w:rPr>
        <w:t>Annual Report April 1, 2014 to March 31, 2015</w:t>
      </w:r>
      <w:r w:rsidRPr="00B5616C">
        <w:rPr>
          <w:rFonts w:ascii="Arial" w:hAnsi="Arial" w:cs="Arial"/>
          <w:sz w:val="20"/>
          <w:szCs w:val="20"/>
        </w:rPr>
        <w:t xml:space="preserve">. Accessed February 13, 2017. </w:t>
      </w:r>
      <w:hyperlink r:id="rId9" w:history="1">
        <w:r w:rsidRPr="00B5616C">
          <w:rPr>
            <w:rStyle w:val="Hyperlink"/>
            <w:rFonts w:ascii="Arial" w:hAnsi="Arial" w:cs="Arial"/>
            <w:sz w:val="20"/>
            <w:szCs w:val="20"/>
          </w:rPr>
          <w:t>https://www.pensionsbc.ca/portal/page/portal/pencorpcontent/pspppage/publications/annualreports/pspp_ar_2015_print_friendly.pdf</w:t>
        </w:r>
      </w:hyperlink>
    </w:p>
    <w:p w:rsidR="00B5616C" w:rsidRPr="00B5616C" w:rsidRDefault="00B5616C" w:rsidP="009B2F01">
      <w:pPr>
        <w:spacing w:before="240"/>
        <w:rPr>
          <w:rFonts w:ascii="Arial" w:eastAsia="Times New Roman" w:hAnsi="Arial" w:cs="Arial"/>
          <w:color w:val="000000" w:themeColor="text1"/>
          <w:sz w:val="20"/>
          <w:szCs w:val="20"/>
          <w:lang w:eastAsia="en-CA"/>
        </w:rPr>
      </w:pPr>
      <w:proofErr w:type="gramStart"/>
      <w:r w:rsidRPr="00B5616C">
        <w:rPr>
          <w:rFonts w:ascii="Arial" w:eastAsia="Times New Roman" w:hAnsi="Arial" w:cs="Arial"/>
          <w:color w:val="000000" w:themeColor="text1"/>
          <w:sz w:val="20"/>
          <w:szCs w:val="20"/>
          <w:lang w:eastAsia="en-CA"/>
        </w:rPr>
        <w:t>Canadian Association of Pension Supervisory Authorities (CAPSA).</w:t>
      </w:r>
      <w:proofErr w:type="gramEnd"/>
      <w:r w:rsidRPr="00B5616C">
        <w:rPr>
          <w:rFonts w:ascii="Arial" w:eastAsia="Times New Roman" w:hAnsi="Arial" w:cs="Arial"/>
          <w:color w:val="000000" w:themeColor="text1"/>
          <w:sz w:val="20"/>
          <w:szCs w:val="20"/>
          <w:lang w:eastAsia="en-CA"/>
        </w:rPr>
        <w:t xml:space="preserve"> 2004. </w:t>
      </w:r>
      <w:r w:rsidRPr="00B5616C">
        <w:rPr>
          <w:rFonts w:ascii="Arial" w:eastAsia="Times New Roman" w:hAnsi="Arial" w:cs="Arial"/>
          <w:i/>
          <w:color w:val="000000" w:themeColor="text1"/>
          <w:sz w:val="20"/>
          <w:szCs w:val="20"/>
          <w:lang w:eastAsia="en-CA"/>
        </w:rPr>
        <w:t>Guideline No. 4 Pension Plan and Self-Assessment Questionnaire</w:t>
      </w:r>
      <w:r w:rsidRPr="00B5616C">
        <w:rPr>
          <w:rFonts w:ascii="Arial" w:eastAsia="Times New Roman" w:hAnsi="Arial" w:cs="Arial"/>
          <w:color w:val="000000" w:themeColor="text1"/>
          <w:sz w:val="20"/>
          <w:szCs w:val="20"/>
          <w:lang w:eastAsia="en-CA"/>
        </w:rPr>
        <w:t xml:space="preserve">. CAPSA. October 25, 2004. Accessed February 13, 2017. </w:t>
      </w:r>
      <w:hyperlink r:id="rId10" w:history="1">
        <w:r w:rsidRPr="00B5616C">
          <w:rPr>
            <w:rStyle w:val="Hyperlink"/>
            <w:rFonts w:ascii="Arial" w:eastAsia="Times New Roman" w:hAnsi="Arial" w:cs="Arial"/>
            <w:sz w:val="20"/>
            <w:szCs w:val="20"/>
            <w:lang w:eastAsia="en-CA"/>
          </w:rPr>
          <w:t>https://www.capsa-acor.org/en/init/governance_guidelines/Guideline_Self-asses_Questionnaire.pdf</w:t>
        </w:r>
      </w:hyperlink>
    </w:p>
    <w:p w:rsidR="00B5616C" w:rsidRPr="00B5616C" w:rsidRDefault="00B5616C" w:rsidP="00B5616C">
      <w:pPr>
        <w:rPr>
          <w:rFonts w:ascii="Arial" w:hAnsi="Arial" w:cs="Arial"/>
          <w:color w:val="000000" w:themeColor="text1"/>
          <w:sz w:val="20"/>
          <w:szCs w:val="20"/>
        </w:rPr>
      </w:pPr>
      <w:r w:rsidRPr="00B5616C">
        <w:rPr>
          <w:rFonts w:ascii="Arial" w:hAnsi="Arial" w:cs="Arial"/>
          <w:color w:val="000000" w:themeColor="text1"/>
          <w:sz w:val="20"/>
          <w:szCs w:val="20"/>
        </w:rPr>
        <w:t xml:space="preserve">CDPQ – Depositors. 2017. </w:t>
      </w:r>
      <w:proofErr w:type="spellStart"/>
      <w:r w:rsidRPr="00B5616C">
        <w:rPr>
          <w:rFonts w:ascii="Arial" w:hAnsi="Arial" w:cs="Arial"/>
          <w:i/>
          <w:color w:val="000000" w:themeColor="text1"/>
          <w:sz w:val="20"/>
          <w:szCs w:val="20"/>
        </w:rPr>
        <w:t>Caisse</w:t>
      </w:r>
      <w:proofErr w:type="spellEnd"/>
      <w:r w:rsidRPr="00B5616C">
        <w:rPr>
          <w:rFonts w:ascii="Arial" w:hAnsi="Arial" w:cs="Arial"/>
          <w:i/>
          <w:color w:val="000000" w:themeColor="text1"/>
          <w:sz w:val="20"/>
          <w:szCs w:val="20"/>
        </w:rPr>
        <w:t xml:space="preserve"> de </w:t>
      </w:r>
      <w:proofErr w:type="spellStart"/>
      <w:r w:rsidRPr="00B5616C">
        <w:rPr>
          <w:rFonts w:ascii="Arial" w:hAnsi="Arial" w:cs="Arial"/>
          <w:i/>
          <w:color w:val="000000" w:themeColor="text1"/>
          <w:sz w:val="20"/>
          <w:szCs w:val="20"/>
        </w:rPr>
        <w:t>Dépôt</w:t>
      </w:r>
      <w:proofErr w:type="spellEnd"/>
      <w:r w:rsidRPr="00B5616C">
        <w:rPr>
          <w:rFonts w:ascii="Arial" w:hAnsi="Arial" w:cs="Arial"/>
          <w:i/>
          <w:color w:val="000000" w:themeColor="text1"/>
          <w:sz w:val="20"/>
          <w:szCs w:val="20"/>
        </w:rPr>
        <w:t xml:space="preserve"> </w:t>
      </w:r>
      <w:proofErr w:type="gramStart"/>
      <w:r w:rsidRPr="00B5616C">
        <w:rPr>
          <w:rFonts w:ascii="Arial" w:hAnsi="Arial" w:cs="Arial"/>
          <w:i/>
          <w:color w:val="000000" w:themeColor="text1"/>
          <w:sz w:val="20"/>
          <w:szCs w:val="20"/>
        </w:rPr>
        <w:t>et</w:t>
      </w:r>
      <w:proofErr w:type="gramEnd"/>
      <w:r w:rsidRPr="00B5616C">
        <w:rPr>
          <w:rFonts w:ascii="Arial" w:hAnsi="Arial" w:cs="Arial"/>
          <w:i/>
          <w:color w:val="000000" w:themeColor="text1"/>
          <w:sz w:val="20"/>
          <w:szCs w:val="20"/>
        </w:rPr>
        <w:t xml:space="preserve"> Placement du Québec website</w:t>
      </w:r>
      <w:r w:rsidRPr="00B5616C">
        <w:rPr>
          <w:rFonts w:ascii="Arial" w:hAnsi="Arial" w:cs="Arial"/>
          <w:color w:val="000000" w:themeColor="text1"/>
          <w:sz w:val="20"/>
          <w:szCs w:val="20"/>
        </w:rPr>
        <w:t xml:space="preserve">. “Our Clients, the Depositors.” Accessed February 16, 2017. </w:t>
      </w:r>
      <w:hyperlink r:id="rId11" w:history="1">
        <w:r w:rsidRPr="00B5616C">
          <w:rPr>
            <w:rStyle w:val="Hyperlink"/>
            <w:rFonts w:ascii="Arial" w:hAnsi="Arial" w:cs="Arial"/>
            <w:sz w:val="20"/>
            <w:szCs w:val="20"/>
          </w:rPr>
          <w:t>http://cdpq.com/en/about-us/clients/depositors</w:t>
        </w:r>
      </w:hyperlink>
    </w:p>
    <w:p w:rsidR="00B5616C" w:rsidRPr="00B5616C" w:rsidRDefault="00B5616C" w:rsidP="00B5616C">
      <w:pPr>
        <w:rPr>
          <w:rFonts w:ascii="Arial" w:eastAsia="Times New Roman" w:hAnsi="Arial" w:cs="Arial"/>
          <w:sz w:val="20"/>
          <w:szCs w:val="20"/>
          <w:lang w:eastAsia="en-CA"/>
        </w:rPr>
      </w:pPr>
      <w:proofErr w:type="spellStart"/>
      <w:r w:rsidRPr="00B5616C">
        <w:rPr>
          <w:rFonts w:ascii="Arial" w:eastAsia="Times New Roman" w:hAnsi="Arial" w:cs="Arial"/>
          <w:sz w:val="20"/>
          <w:szCs w:val="20"/>
          <w:lang w:eastAsia="en-CA"/>
        </w:rPr>
        <w:lastRenderedPageBreak/>
        <w:t>Himmelsbach</w:t>
      </w:r>
      <w:proofErr w:type="spellEnd"/>
      <w:r w:rsidRPr="00B5616C">
        <w:rPr>
          <w:rFonts w:ascii="Arial" w:eastAsia="Times New Roman" w:hAnsi="Arial" w:cs="Arial"/>
          <w:sz w:val="20"/>
          <w:szCs w:val="20"/>
          <w:lang w:eastAsia="en-CA"/>
        </w:rPr>
        <w:t xml:space="preserve">, </w:t>
      </w:r>
      <w:proofErr w:type="spellStart"/>
      <w:r w:rsidRPr="00B5616C">
        <w:rPr>
          <w:rFonts w:ascii="Arial" w:eastAsia="Times New Roman" w:hAnsi="Arial" w:cs="Arial"/>
          <w:sz w:val="20"/>
          <w:szCs w:val="20"/>
          <w:lang w:eastAsia="en-CA"/>
        </w:rPr>
        <w:t>Vawn</w:t>
      </w:r>
      <w:proofErr w:type="spellEnd"/>
      <w:r w:rsidRPr="00B5616C">
        <w:rPr>
          <w:rFonts w:ascii="Arial" w:eastAsia="Times New Roman" w:hAnsi="Arial" w:cs="Arial"/>
          <w:sz w:val="20"/>
          <w:szCs w:val="20"/>
          <w:lang w:eastAsia="en-CA"/>
        </w:rPr>
        <w:t xml:space="preserve">. 2016. “Raising the bar on pension plan governance.” Benefits Canada. February 3, 2016. Accessed February 22, 2017. </w:t>
      </w:r>
      <w:hyperlink r:id="rId12" w:history="1">
        <w:r w:rsidRPr="00B5616C">
          <w:rPr>
            <w:rStyle w:val="Hyperlink"/>
            <w:rFonts w:ascii="Arial" w:eastAsia="Times New Roman" w:hAnsi="Arial" w:cs="Arial"/>
            <w:sz w:val="20"/>
            <w:szCs w:val="20"/>
            <w:lang w:eastAsia="en-CA"/>
          </w:rPr>
          <w:t>http://www.benefitscanada.com/pensions/governance-law/raising-the-bar-on-pension-plan-governance-76607</w:t>
        </w:r>
      </w:hyperlink>
    </w:p>
    <w:p w:rsidR="00B5616C" w:rsidRPr="00B5616C" w:rsidRDefault="00B5616C" w:rsidP="00B5616C">
      <w:pPr>
        <w:rPr>
          <w:rFonts w:ascii="Arial" w:hAnsi="Arial" w:cs="Arial"/>
          <w:color w:val="000000" w:themeColor="text1"/>
          <w:sz w:val="20"/>
          <w:szCs w:val="20"/>
        </w:rPr>
      </w:pPr>
      <w:r w:rsidRPr="00B5616C">
        <w:rPr>
          <w:rFonts w:ascii="Arial" w:hAnsi="Arial" w:cs="Arial"/>
          <w:color w:val="000000" w:themeColor="text1"/>
          <w:sz w:val="20"/>
          <w:szCs w:val="20"/>
        </w:rPr>
        <w:t xml:space="preserve">Kennedy, Bruce. 2016. “Sounding Board: Canada leads in pension systems for public sector workers” Benefits Canada. </w:t>
      </w:r>
      <w:r w:rsidRPr="00B5616C">
        <w:rPr>
          <w:rFonts w:ascii="Arial" w:eastAsia="Times New Roman" w:hAnsi="Arial" w:cs="Arial"/>
          <w:color w:val="000000" w:themeColor="text1"/>
          <w:sz w:val="20"/>
          <w:szCs w:val="20"/>
          <w:lang w:eastAsia="en-CA"/>
        </w:rPr>
        <w:t>June 7, 2016. Accessed February 12, 2017</w:t>
      </w:r>
      <w:r w:rsidRPr="00B5616C">
        <w:rPr>
          <w:rFonts w:ascii="Arial" w:hAnsi="Arial" w:cs="Arial"/>
          <w:color w:val="000000" w:themeColor="text1"/>
          <w:sz w:val="20"/>
          <w:szCs w:val="20"/>
        </w:rPr>
        <w:t>.</w:t>
      </w:r>
      <w:r w:rsidRPr="00B5616C">
        <w:rPr>
          <w:rFonts w:ascii="Arial" w:hAnsi="Arial" w:cs="Arial"/>
          <w:sz w:val="20"/>
          <w:szCs w:val="20"/>
        </w:rPr>
        <w:t xml:space="preserve"> </w:t>
      </w:r>
      <w:hyperlink r:id="rId13" w:history="1">
        <w:r w:rsidRPr="00B5616C">
          <w:rPr>
            <w:rStyle w:val="Hyperlink"/>
            <w:rFonts w:ascii="Arial" w:hAnsi="Arial" w:cs="Arial"/>
            <w:sz w:val="20"/>
            <w:szCs w:val="20"/>
          </w:rPr>
          <w:t>http://www.benefitscanada.com/news/sounding-board-canada-leads-in-pension-systems-for-public-sector-workers-82441</w:t>
        </w:r>
      </w:hyperlink>
    </w:p>
    <w:p w:rsidR="00B5616C" w:rsidRPr="00B5616C" w:rsidRDefault="00B5616C" w:rsidP="00B5616C">
      <w:pPr>
        <w:rPr>
          <w:rFonts w:ascii="Arial" w:hAnsi="Arial" w:cs="Arial"/>
          <w:sz w:val="20"/>
          <w:szCs w:val="20"/>
        </w:rPr>
      </w:pPr>
      <w:proofErr w:type="spellStart"/>
      <w:r w:rsidRPr="00B5616C">
        <w:rPr>
          <w:rFonts w:ascii="Arial" w:eastAsia="Times New Roman" w:hAnsi="Arial" w:cs="Arial"/>
          <w:sz w:val="20"/>
          <w:szCs w:val="20"/>
          <w:lang w:eastAsia="en-CA"/>
        </w:rPr>
        <w:t>Melnitzer</w:t>
      </w:r>
      <w:proofErr w:type="spellEnd"/>
      <w:r w:rsidRPr="00B5616C">
        <w:rPr>
          <w:rFonts w:ascii="Arial" w:eastAsia="Times New Roman" w:hAnsi="Arial" w:cs="Arial"/>
          <w:sz w:val="20"/>
          <w:szCs w:val="20"/>
          <w:lang w:eastAsia="en-CA"/>
        </w:rPr>
        <w:t xml:space="preserve">, Julius. 2016. </w:t>
      </w:r>
      <w:r w:rsidRPr="00B5616C">
        <w:rPr>
          <w:rFonts w:ascii="Arial" w:hAnsi="Arial" w:cs="Arial"/>
          <w:sz w:val="20"/>
          <w:szCs w:val="20"/>
        </w:rPr>
        <w:t xml:space="preserve">“New Brunswick’s shared risk conversion faces a flurry of legal attacks.” Benefits Canada. November 15, 2016. Accessed March 1, 2017. </w:t>
      </w:r>
      <w:hyperlink r:id="rId14" w:history="1">
        <w:r w:rsidRPr="00B5616C">
          <w:rPr>
            <w:rStyle w:val="Hyperlink"/>
            <w:rFonts w:ascii="Arial" w:hAnsi="Arial" w:cs="Arial"/>
            <w:sz w:val="20"/>
            <w:szCs w:val="20"/>
          </w:rPr>
          <w:t>http://www.benefitscanada.com/human-resources/legislation/new-brunswicks-shared-risk-conversion-faces-a-flurry-of-legal-attacks-89880</w:t>
        </w:r>
      </w:hyperlink>
    </w:p>
    <w:p w:rsidR="00B5616C" w:rsidRPr="00B5616C" w:rsidRDefault="00B5616C" w:rsidP="00B5616C">
      <w:pPr>
        <w:rPr>
          <w:rFonts w:ascii="Arial" w:hAnsi="Arial" w:cs="Arial"/>
          <w:sz w:val="20"/>
          <w:szCs w:val="20"/>
        </w:rPr>
      </w:pPr>
      <w:proofErr w:type="spellStart"/>
      <w:r w:rsidRPr="00B5616C">
        <w:rPr>
          <w:rFonts w:ascii="Arial" w:hAnsi="Arial" w:cs="Arial"/>
          <w:sz w:val="20"/>
          <w:szCs w:val="20"/>
        </w:rPr>
        <w:t>Morissette</w:t>
      </w:r>
      <w:proofErr w:type="spellEnd"/>
      <w:r w:rsidRPr="00B5616C">
        <w:rPr>
          <w:rFonts w:ascii="Arial" w:hAnsi="Arial" w:cs="Arial"/>
          <w:sz w:val="20"/>
          <w:szCs w:val="20"/>
        </w:rPr>
        <w:t xml:space="preserve">, René and </w:t>
      </w:r>
      <w:proofErr w:type="spellStart"/>
      <w:r w:rsidRPr="00B5616C">
        <w:rPr>
          <w:rFonts w:ascii="Arial" w:hAnsi="Arial" w:cs="Arial"/>
          <w:sz w:val="20"/>
          <w:szCs w:val="20"/>
        </w:rPr>
        <w:t>Xuelin</w:t>
      </w:r>
      <w:proofErr w:type="spellEnd"/>
      <w:r w:rsidRPr="00B5616C">
        <w:rPr>
          <w:rFonts w:ascii="Arial" w:hAnsi="Arial" w:cs="Arial"/>
          <w:sz w:val="20"/>
          <w:szCs w:val="20"/>
        </w:rPr>
        <w:t xml:space="preserve"> Zhang. 2004. “Retirement Plan Awareness.” Perspectives on Labour and Income, Statistics Canada, Vol. 5, no. 1, January 2004. Accessed February 10, 2017. </w:t>
      </w:r>
      <w:hyperlink r:id="rId15" w:history="1">
        <w:r w:rsidRPr="00B5616C">
          <w:rPr>
            <w:rStyle w:val="Hyperlink"/>
            <w:rFonts w:ascii="Arial" w:hAnsi="Arial" w:cs="Arial"/>
            <w:sz w:val="20"/>
            <w:szCs w:val="20"/>
          </w:rPr>
          <w:t>http://www.statcan.gc.ca/pub/75-001-x/10104/6757-eng.htm</w:t>
        </w:r>
      </w:hyperlink>
    </w:p>
    <w:p w:rsidR="00B5616C" w:rsidRPr="00B5616C" w:rsidRDefault="00B5616C" w:rsidP="00B5616C">
      <w:pPr>
        <w:rPr>
          <w:rFonts w:ascii="Arial" w:hAnsi="Arial" w:cs="Arial"/>
          <w:sz w:val="20"/>
          <w:szCs w:val="20"/>
        </w:rPr>
      </w:pPr>
      <w:r w:rsidRPr="00B5616C">
        <w:rPr>
          <w:rFonts w:ascii="Arial" w:hAnsi="Arial" w:cs="Arial"/>
          <w:sz w:val="20"/>
          <w:szCs w:val="20"/>
        </w:rPr>
        <w:t xml:space="preserve">Statistics Canada. 2016. “Registered pension plan membership, by sector and type of plan” As of January 1, 2015. Accessed February 10, 2017. </w:t>
      </w:r>
      <w:hyperlink r:id="rId16" w:history="1">
        <w:r w:rsidRPr="00B5616C">
          <w:rPr>
            <w:rStyle w:val="Hyperlink"/>
            <w:rFonts w:ascii="Arial" w:hAnsi="Arial" w:cs="Arial"/>
            <w:sz w:val="20"/>
            <w:szCs w:val="20"/>
          </w:rPr>
          <w:t>http://www.statcan.gc.ca/tables-tableaux/sum-som/l01/cst01/famil120a-eng.htm</w:t>
        </w:r>
      </w:hyperlink>
    </w:p>
    <w:p w:rsidR="00B5616C" w:rsidRPr="00B5616C" w:rsidRDefault="000B5E95" w:rsidP="00B5616C">
      <w:pPr>
        <w:spacing w:before="100" w:beforeAutospacing="1" w:after="100" w:afterAutospacing="1" w:line="240" w:lineRule="auto"/>
        <w:outlineLvl w:val="0"/>
        <w:rPr>
          <w:rFonts w:ascii="Arial" w:eastAsia="Times New Roman" w:hAnsi="Arial" w:cs="Arial"/>
          <w:bCs/>
          <w:color w:val="000000" w:themeColor="text1"/>
          <w:kern w:val="36"/>
          <w:sz w:val="20"/>
          <w:szCs w:val="20"/>
          <w:lang w:eastAsia="en-CA"/>
        </w:rPr>
      </w:pPr>
      <w:hyperlink r:id="rId17" w:tooltip="Visit Jana Steele’s website" w:history="1">
        <w:r w:rsidR="00B5616C" w:rsidRPr="00B5616C">
          <w:rPr>
            <w:rFonts w:ascii="Arial" w:eastAsia="Times New Roman" w:hAnsi="Arial" w:cs="Arial"/>
            <w:color w:val="000000" w:themeColor="text1"/>
            <w:sz w:val="20"/>
            <w:szCs w:val="20"/>
            <w:lang w:eastAsia="en-CA"/>
          </w:rPr>
          <w:t>Steele</w:t>
        </w:r>
      </w:hyperlink>
      <w:r w:rsidR="00B5616C" w:rsidRPr="00B5616C">
        <w:rPr>
          <w:rFonts w:ascii="Arial" w:hAnsi="Arial" w:cs="Arial"/>
          <w:sz w:val="20"/>
          <w:szCs w:val="20"/>
        </w:rPr>
        <w:t>, Jana</w:t>
      </w:r>
      <w:r w:rsidR="00B5616C" w:rsidRPr="00B5616C">
        <w:rPr>
          <w:rFonts w:ascii="Arial" w:eastAsia="Times New Roman" w:hAnsi="Arial" w:cs="Arial"/>
          <w:color w:val="000000" w:themeColor="text1"/>
          <w:sz w:val="20"/>
          <w:szCs w:val="20"/>
          <w:lang w:eastAsia="en-CA"/>
        </w:rPr>
        <w:t xml:space="preserve"> and Ian </w:t>
      </w:r>
      <w:proofErr w:type="spellStart"/>
      <w:r w:rsidR="00B5616C" w:rsidRPr="00B5616C">
        <w:rPr>
          <w:rFonts w:ascii="Arial" w:eastAsia="Times New Roman" w:hAnsi="Arial" w:cs="Arial"/>
          <w:color w:val="000000" w:themeColor="text1"/>
          <w:sz w:val="20"/>
          <w:szCs w:val="20"/>
          <w:lang w:eastAsia="en-CA"/>
        </w:rPr>
        <w:t>McSweeney</w:t>
      </w:r>
      <w:proofErr w:type="spellEnd"/>
      <w:r w:rsidR="00B5616C" w:rsidRPr="00B5616C">
        <w:rPr>
          <w:rFonts w:ascii="Arial" w:eastAsia="Times New Roman" w:hAnsi="Arial" w:cs="Arial"/>
          <w:color w:val="000000" w:themeColor="text1"/>
          <w:sz w:val="20"/>
          <w:szCs w:val="20"/>
          <w:lang w:eastAsia="en-CA"/>
        </w:rPr>
        <w:t xml:space="preserve">. 2014. </w:t>
      </w:r>
      <w:r w:rsidR="00B5616C" w:rsidRPr="00B5616C">
        <w:rPr>
          <w:rFonts w:ascii="Arial" w:eastAsia="Times New Roman" w:hAnsi="Arial" w:cs="Arial"/>
          <w:bCs/>
          <w:color w:val="000000" w:themeColor="text1"/>
          <w:kern w:val="36"/>
          <w:sz w:val="20"/>
          <w:szCs w:val="20"/>
          <w:lang w:eastAsia="en-CA"/>
        </w:rPr>
        <w:t xml:space="preserve">“Myth #1: Target Benefits are a New “Untested” Concept.” Osler Pensions and Benefits Law Blog, November 6. Accessed January 8, 2017. </w:t>
      </w:r>
      <w:hyperlink r:id="rId18" w:history="1">
        <w:r w:rsidR="00B5616C" w:rsidRPr="00B5616C">
          <w:rPr>
            <w:rStyle w:val="Hyperlink"/>
            <w:rFonts w:ascii="Arial" w:eastAsia="Times New Roman" w:hAnsi="Arial" w:cs="Arial"/>
            <w:bCs/>
            <w:kern w:val="36"/>
            <w:sz w:val="20"/>
            <w:szCs w:val="20"/>
            <w:lang w:eastAsia="en-CA"/>
          </w:rPr>
          <w:t>https://www.osler.com/en/blogs/pensions/november-2014/myth-1-target-benefits-are-a-new-untested-conc</w:t>
        </w:r>
      </w:hyperlink>
    </w:p>
    <w:p w:rsidR="00B5616C" w:rsidRPr="00B5616C" w:rsidRDefault="00B5616C" w:rsidP="00B5616C">
      <w:pPr>
        <w:rPr>
          <w:rFonts w:ascii="Arial" w:hAnsi="Arial" w:cs="Arial"/>
          <w:sz w:val="20"/>
          <w:szCs w:val="20"/>
        </w:rPr>
      </w:pPr>
      <w:r w:rsidRPr="00B5616C">
        <w:rPr>
          <w:rStyle w:val="post-byline"/>
          <w:rFonts w:ascii="Arial" w:hAnsi="Arial" w:cs="Arial"/>
          <w:color w:val="000000" w:themeColor="text1"/>
          <w:sz w:val="20"/>
          <w:szCs w:val="20"/>
        </w:rPr>
        <w:t xml:space="preserve">Steele, Jana, Angela </w:t>
      </w:r>
      <w:proofErr w:type="spellStart"/>
      <w:r w:rsidRPr="00B5616C">
        <w:rPr>
          <w:rStyle w:val="post-byline"/>
          <w:rFonts w:ascii="Arial" w:hAnsi="Arial" w:cs="Arial"/>
          <w:color w:val="000000" w:themeColor="text1"/>
          <w:sz w:val="20"/>
          <w:szCs w:val="20"/>
        </w:rPr>
        <w:t>Mazerolle</w:t>
      </w:r>
      <w:proofErr w:type="spellEnd"/>
      <w:r w:rsidRPr="00B5616C">
        <w:rPr>
          <w:rStyle w:val="post-byline"/>
          <w:rFonts w:ascii="Arial" w:hAnsi="Arial" w:cs="Arial"/>
          <w:color w:val="000000" w:themeColor="text1"/>
          <w:sz w:val="20"/>
          <w:szCs w:val="20"/>
        </w:rPr>
        <w:t>, and Mel Bartlett. 2014.</w:t>
      </w:r>
      <w:r w:rsidRPr="00B5616C">
        <w:rPr>
          <w:rFonts w:ascii="Arial" w:hAnsi="Arial" w:cs="Arial"/>
          <w:color w:val="000000" w:themeColor="text1"/>
          <w:sz w:val="20"/>
          <w:szCs w:val="20"/>
        </w:rPr>
        <w:t xml:space="preserve"> Target Benefit Plans in Canada – An Innovation Worth Expanding</w:t>
      </w:r>
      <w:r w:rsidRPr="00B5616C">
        <w:rPr>
          <w:rFonts w:ascii="Arial" w:hAnsi="Arial" w:cs="Arial"/>
          <w:b/>
          <w:color w:val="000000" w:themeColor="text1"/>
          <w:sz w:val="20"/>
          <w:szCs w:val="20"/>
        </w:rPr>
        <w:t>.</w:t>
      </w:r>
      <w:r w:rsidRPr="00B5616C">
        <w:rPr>
          <w:rFonts w:ascii="Arial" w:hAnsi="Arial" w:cs="Arial"/>
          <w:color w:val="000000" w:themeColor="text1"/>
          <w:sz w:val="20"/>
          <w:szCs w:val="20"/>
        </w:rPr>
        <w:t xml:space="preserve"> Toronto: CD Howe Institute. Accessed January 8, 2017. </w:t>
      </w:r>
      <w:hyperlink r:id="rId19" w:history="1">
        <w:r w:rsidRPr="00B5616C">
          <w:rPr>
            <w:rStyle w:val="Hyperlink"/>
            <w:rFonts w:ascii="Arial" w:hAnsi="Arial" w:cs="Arial"/>
            <w:sz w:val="20"/>
            <w:szCs w:val="20"/>
          </w:rPr>
          <w:t>https://www.osler.com/uploadedFiles/Commentary_411.pdf</w:t>
        </w:r>
      </w:hyperlink>
    </w:p>
    <w:p w:rsidR="00D5456E" w:rsidRPr="00A52C02" w:rsidRDefault="00D5456E" w:rsidP="00F758BE">
      <w:pPr>
        <w:rPr>
          <w:rFonts w:ascii="Arial" w:eastAsia="Times New Roman" w:hAnsi="Arial" w:cs="Arial"/>
          <w:sz w:val="20"/>
          <w:szCs w:val="20"/>
          <w:highlight w:val="yellow"/>
          <w:lang w:eastAsia="en-CA"/>
        </w:rPr>
      </w:pPr>
    </w:p>
    <w:sectPr w:rsidR="00D5456E" w:rsidRPr="00A52C02" w:rsidSect="00785444">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98" w:rsidRDefault="009C7098" w:rsidP="00542B96">
      <w:pPr>
        <w:spacing w:after="0" w:line="240" w:lineRule="auto"/>
      </w:pPr>
      <w:r>
        <w:separator/>
      </w:r>
    </w:p>
  </w:endnote>
  <w:endnote w:type="continuationSeparator" w:id="0">
    <w:p w:rsidR="009C7098" w:rsidRDefault="009C7098" w:rsidP="0054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219"/>
      <w:docPartObj>
        <w:docPartGallery w:val="Page Numbers (Bottom of Page)"/>
        <w:docPartUnique/>
      </w:docPartObj>
    </w:sdtPr>
    <w:sdtEndPr/>
    <w:sdtContent>
      <w:sdt>
        <w:sdtPr>
          <w:id w:val="565050523"/>
          <w:docPartObj>
            <w:docPartGallery w:val="Page Numbers (Top of Page)"/>
            <w:docPartUnique/>
          </w:docPartObj>
        </w:sdtPr>
        <w:sdtEndPr/>
        <w:sdtContent>
          <w:p w:rsidR="00EF5DF9" w:rsidRDefault="00EF5DF9">
            <w:pPr>
              <w:pStyle w:val="Footer"/>
              <w:jc w:val="right"/>
            </w:pPr>
            <w:r>
              <w:t xml:space="preserve">Page </w:t>
            </w:r>
            <w:r w:rsidR="007C39C8">
              <w:rPr>
                <w:b/>
                <w:sz w:val="24"/>
                <w:szCs w:val="24"/>
              </w:rPr>
              <w:fldChar w:fldCharType="begin"/>
            </w:r>
            <w:r>
              <w:rPr>
                <w:b/>
              </w:rPr>
              <w:instrText xml:space="preserve"> PAGE </w:instrText>
            </w:r>
            <w:r w:rsidR="007C39C8">
              <w:rPr>
                <w:b/>
                <w:sz w:val="24"/>
                <w:szCs w:val="24"/>
              </w:rPr>
              <w:fldChar w:fldCharType="separate"/>
            </w:r>
            <w:r w:rsidR="000B5E95">
              <w:rPr>
                <w:b/>
                <w:noProof/>
              </w:rPr>
              <w:t>1</w:t>
            </w:r>
            <w:r w:rsidR="007C39C8">
              <w:rPr>
                <w:b/>
                <w:sz w:val="24"/>
                <w:szCs w:val="24"/>
              </w:rPr>
              <w:fldChar w:fldCharType="end"/>
            </w:r>
            <w:r>
              <w:t xml:space="preserve"> of </w:t>
            </w:r>
            <w:r w:rsidR="007C39C8">
              <w:rPr>
                <w:b/>
                <w:sz w:val="24"/>
                <w:szCs w:val="24"/>
              </w:rPr>
              <w:fldChar w:fldCharType="begin"/>
            </w:r>
            <w:r>
              <w:rPr>
                <w:b/>
              </w:rPr>
              <w:instrText xml:space="preserve"> NUMPAGES  </w:instrText>
            </w:r>
            <w:r w:rsidR="007C39C8">
              <w:rPr>
                <w:b/>
                <w:sz w:val="24"/>
                <w:szCs w:val="24"/>
              </w:rPr>
              <w:fldChar w:fldCharType="separate"/>
            </w:r>
            <w:r w:rsidR="000B5E95">
              <w:rPr>
                <w:b/>
                <w:noProof/>
              </w:rPr>
              <w:t>5</w:t>
            </w:r>
            <w:r w:rsidR="007C39C8">
              <w:rPr>
                <w:b/>
                <w:sz w:val="24"/>
                <w:szCs w:val="24"/>
              </w:rPr>
              <w:fldChar w:fldCharType="end"/>
            </w:r>
          </w:p>
        </w:sdtContent>
      </w:sdt>
    </w:sdtContent>
  </w:sdt>
  <w:p w:rsidR="00EF5DF9" w:rsidRDefault="00EF5D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98" w:rsidRDefault="009C7098" w:rsidP="00542B96">
      <w:pPr>
        <w:spacing w:after="0" w:line="240" w:lineRule="auto"/>
      </w:pPr>
      <w:r>
        <w:separator/>
      </w:r>
    </w:p>
  </w:footnote>
  <w:footnote w:type="continuationSeparator" w:id="0">
    <w:p w:rsidR="009C7098" w:rsidRDefault="009C7098" w:rsidP="00542B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78" w:rsidRDefault="00E33E78">
    <w:pPr>
      <w:pStyle w:val="Header"/>
    </w:pPr>
    <w:r>
      <w:t>05 March 2017</w:t>
    </w:r>
    <w:r>
      <w:ptab w:relativeTo="margin" w:alignment="center" w:leader="none"/>
    </w:r>
    <w:r>
      <w:ptab w:relativeTo="margin" w:alignment="right" w:leader="none"/>
    </w:r>
    <w:r>
      <w:t>SRA Research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78A"/>
    <w:multiLevelType w:val="hybridMultilevel"/>
    <w:tmpl w:val="89726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3B05AF"/>
    <w:multiLevelType w:val="hybridMultilevel"/>
    <w:tmpl w:val="280A8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9E76EE"/>
    <w:multiLevelType w:val="hybridMultilevel"/>
    <w:tmpl w:val="8E9EB8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AFE04B0"/>
    <w:multiLevelType w:val="hybridMultilevel"/>
    <w:tmpl w:val="E286D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122F55"/>
    <w:multiLevelType w:val="hybridMultilevel"/>
    <w:tmpl w:val="FFC6E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9DD3A32"/>
    <w:multiLevelType w:val="hybridMultilevel"/>
    <w:tmpl w:val="7CD8F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613A42"/>
    <w:multiLevelType w:val="hybridMultilevel"/>
    <w:tmpl w:val="F99ED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F740EA5"/>
    <w:multiLevelType w:val="hybridMultilevel"/>
    <w:tmpl w:val="03CC2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0C"/>
    <w:rsid w:val="00004389"/>
    <w:rsid w:val="00010BEA"/>
    <w:rsid w:val="00022826"/>
    <w:rsid w:val="00027DE6"/>
    <w:rsid w:val="00041FDC"/>
    <w:rsid w:val="00053E5D"/>
    <w:rsid w:val="000552A7"/>
    <w:rsid w:val="00083EF8"/>
    <w:rsid w:val="000853F0"/>
    <w:rsid w:val="000876F7"/>
    <w:rsid w:val="000A50EA"/>
    <w:rsid w:val="000B0EDF"/>
    <w:rsid w:val="000B2C0B"/>
    <w:rsid w:val="000B5E95"/>
    <w:rsid w:val="000B6338"/>
    <w:rsid w:val="000C7ABE"/>
    <w:rsid w:val="000D12CF"/>
    <w:rsid w:val="0010124C"/>
    <w:rsid w:val="00120700"/>
    <w:rsid w:val="001345E4"/>
    <w:rsid w:val="00142895"/>
    <w:rsid w:val="001467CD"/>
    <w:rsid w:val="00161C24"/>
    <w:rsid w:val="00164154"/>
    <w:rsid w:val="0017608F"/>
    <w:rsid w:val="00177F02"/>
    <w:rsid w:val="001A7F0C"/>
    <w:rsid w:val="001B5191"/>
    <w:rsid w:val="001C286B"/>
    <w:rsid w:val="001D09DF"/>
    <w:rsid w:val="00224645"/>
    <w:rsid w:val="00236C11"/>
    <w:rsid w:val="00236D80"/>
    <w:rsid w:val="00240CDC"/>
    <w:rsid w:val="00242A30"/>
    <w:rsid w:val="002544ED"/>
    <w:rsid w:val="00257C6B"/>
    <w:rsid w:val="00261A14"/>
    <w:rsid w:val="0026529F"/>
    <w:rsid w:val="002658A4"/>
    <w:rsid w:val="002807E4"/>
    <w:rsid w:val="00291C25"/>
    <w:rsid w:val="0029205A"/>
    <w:rsid w:val="002C40A9"/>
    <w:rsid w:val="002D238D"/>
    <w:rsid w:val="002D291E"/>
    <w:rsid w:val="002D4244"/>
    <w:rsid w:val="002D65CF"/>
    <w:rsid w:val="002E0052"/>
    <w:rsid w:val="002E0943"/>
    <w:rsid w:val="002E6CE1"/>
    <w:rsid w:val="002F0EAB"/>
    <w:rsid w:val="002F10D6"/>
    <w:rsid w:val="002F681A"/>
    <w:rsid w:val="00310638"/>
    <w:rsid w:val="00323106"/>
    <w:rsid w:val="00323E4B"/>
    <w:rsid w:val="0033194C"/>
    <w:rsid w:val="00340F2D"/>
    <w:rsid w:val="00341075"/>
    <w:rsid w:val="00341467"/>
    <w:rsid w:val="00341E1E"/>
    <w:rsid w:val="003443C8"/>
    <w:rsid w:val="003460C2"/>
    <w:rsid w:val="00360461"/>
    <w:rsid w:val="003617D2"/>
    <w:rsid w:val="0037055E"/>
    <w:rsid w:val="003824A8"/>
    <w:rsid w:val="00392462"/>
    <w:rsid w:val="003C2B30"/>
    <w:rsid w:val="003D115A"/>
    <w:rsid w:val="003E08CF"/>
    <w:rsid w:val="003E7F8E"/>
    <w:rsid w:val="0043603E"/>
    <w:rsid w:val="0044000C"/>
    <w:rsid w:val="00445A3D"/>
    <w:rsid w:val="00445BAF"/>
    <w:rsid w:val="00453DB2"/>
    <w:rsid w:val="00457CB1"/>
    <w:rsid w:val="00464789"/>
    <w:rsid w:val="00474B6E"/>
    <w:rsid w:val="0048037F"/>
    <w:rsid w:val="00480F7B"/>
    <w:rsid w:val="004826BB"/>
    <w:rsid w:val="00485AFA"/>
    <w:rsid w:val="004B1ED2"/>
    <w:rsid w:val="004B363C"/>
    <w:rsid w:val="004B468F"/>
    <w:rsid w:val="004C36E7"/>
    <w:rsid w:val="004C3BA6"/>
    <w:rsid w:val="004E0507"/>
    <w:rsid w:val="004E2779"/>
    <w:rsid w:val="004E277E"/>
    <w:rsid w:val="004E7D51"/>
    <w:rsid w:val="004F7DD5"/>
    <w:rsid w:val="005209E1"/>
    <w:rsid w:val="00542B96"/>
    <w:rsid w:val="00547EE4"/>
    <w:rsid w:val="005531CD"/>
    <w:rsid w:val="00554841"/>
    <w:rsid w:val="005631B7"/>
    <w:rsid w:val="005635A1"/>
    <w:rsid w:val="00573BF6"/>
    <w:rsid w:val="0057451E"/>
    <w:rsid w:val="00587626"/>
    <w:rsid w:val="005A4D53"/>
    <w:rsid w:val="005A5232"/>
    <w:rsid w:val="005A7CDA"/>
    <w:rsid w:val="005A7FEA"/>
    <w:rsid w:val="005B1FD6"/>
    <w:rsid w:val="005C24D6"/>
    <w:rsid w:val="005E29EC"/>
    <w:rsid w:val="005F7F85"/>
    <w:rsid w:val="00601126"/>
    <w:rsid w:val="00607851"/>
    <w:rsid w:val="00612225"/>
    <w:rsid w:val="006342BB"/>
    <w:rsid w:val="00642DE5"/>
    <w:rsid w:val="00663941"/>
    <w:rsid w:val="00667653"/>
    <w:rsid w:val="006809BA"/>
    <w:rsid w:val="0069165D"/>
    <w:rsid w:val="00695D42"/>
    <w:rsid w:val="00697F04"/>
    <w:rsid w:val="006C4840"/>
    <w:rsid w:val="006D25A2"/>
    <w:rsid w:val="007146F2"/>
    <w:rsid w:val="00725527"/>
    <w:rsid w:val="007256BC"/>
    <w:rsid w:val="0072726A"/>
    <w:rsid w:val="00731DA3"/>
    <w:rsid w:val="00750082"/>
    <w:rsid w:val="00750E3D"/>
    <w:rsid w:val="007637A1"/>
    <w:rsid w:val="0076439D"/>
    <w:rsid w:val="00764417"/>
    <w:rsid w:val="00771805"/>
    <w:rsid w:val="00771DD7"/>
    <w:rsid w:val="00783234"/>
    <w:rsid w:val="00785444"/>
    <w:rsid w:val="007A2874"/>
    <w:rsid w:val="007A42D5"/>
    <w:rsid w:val="007A66F2"/>
    <w:rsid w:val="007B3DC6"/>
    <w:rsid w:val="007C0306"/>
    <w:rsid w:val="007C1D2E"/>
    <w:rsid w:val="007C2747"/>
    <w:rsid w:val="007C39C8"/>
    <w:rsid w:val="007F502B"/>
    <w:rsid w:val="007F72B4"/>
    <w:rsid w:val="00801B0D"/>
    <w:rsid w:val="00806A38"/>
    <w:rsid w:val="00815E2A"/>
    <w:rsid w:val="00817CBD"/>
    <w:rsid w:val="00822FA7"/>
    <w:rsid w:val="00831C0B"/>
    <w:rsid w:val="00833235"/>
    <w:rsid w:val="0083777E"/>
    <w:rsid w:val="00844DAF"/>
    <w:rsid w:val="008765CC"/>
    <w:rsid w:val="00881573"/>
    <w:rsid w:val="008851B9"/>
    <w:rsid w:val="0089117B"/>
    <w:rsid w:val="00894A7E"/>
    <w:rsid w:val="008A0967"/>
    <w:rsid w:val="008A0BD8"/>
    <w:rsid w:val="008A515E"/>
    <w:rsid w:val="008D0BE8"/>
    <w:rsid w:val="00906593"/>
    <w:rsid w:val="00935468"/>
    <w:rsid w:val="00950AE8"/>
    <w:rsid w:val="00956A95"/>
    <w:rsid w:val="0099370D"/>
    <w:rsid w:val="009A679F"/>
    <w:rsid w:val="009B1EC8"/>
    <w:rsid w:val="009B2F01"/>
    <w:rsid w:val="009C34C0"/>
    <w:rsid w:val="009C7098"/>
    <w:rsid w:val="009D3581"/>
    <w:rsid w:val="009D41E6"/>
    <w:rsid w:val="009D7EE0"/>
    <w:rsid w:val="009E6C27"/>
    <w:rsid w:val="00A00910"/>
    <w:rsid w:val="00A10E54"/>
    <w:rsid w:val="00A21606"/>
    <w:rsid w:val="00A276EF"/>
    <w:rsid w:val="00A52C02"/>
    <w:rsid w:val="00A538E7"/>
    <w:rsid w:val="00A74C1D"/>
    <w:rsid w:val="00A77AF5"/>
    <w:rsid w:val="00A8385A"/>
    <w:rsid w:val="00A876BD"/>
    <w:rsid w:val="00A92A53"/>
    <w:rsid w:val="00A93EE8"/>
    <w:rsid w:val="00AA00DE"/>
    <w:rsid w:val="00AA5A84"/>
    <w:rsid w:val="00AA6402"/>
    <w:rsid w:val="00AB042B"/>
    <w:rsid w:val="00AB18E0"/>
    <w:rsid w:val="00AB5D16"/>
    <w:rsid w:val="00AD2EF4"/>
    <w:rsid w:val="00AD3569"/>
    <w:rsid w:val="00AD3992"/>
    <w:rsid w:val="00AE1597"/>
    <w:rsid w:val="00AF34FF"/>
    <w:rsid w:val="00B035B3"/>
    <w:rsid w:val="00B20DE9"/>
    <w:rsid w:val="00B32EB3"/>
    <w:rsid w:val="00B35361"/>
    <w:rsid w:val="00B53FEE"/>
    <w:rsid w:val="00B5616C"/>
    <w:rsid w:val="00B61692"/>
    <w:rsid w:val="00B7116C"/>
    <w:rsid w:val="00B87F98"/>
    <w:rsid w:val="00BA55B4"/>
    <w:rsid w:val="00BA62A5"/>
    <w:rsid w:val="00BB4587"/>
    <w:rsid w:val="00BC7263"/>
    <w:rsid w:val="00BE01D6"/>
    <w:rsid w:val="00BF0D8E"/>
    <w:rsid w:val="00C14074"/>
    <w:rsid w:val="00C2033F"/>
    <w:rsid w:val="00C204CC"/>
    <w:rsid w:val="00C27FA1"/>
    <w:rsid w:val="00C705B3"/>
    <w:rsid w:val="00C746CC"/>
    <w:rsid w:val="00C847DA"/>
    <w:rsid w:val="00C9094E"/>
    <w:rsid w:val="00CD264B"/>
    <w:rsid w:val="00CE0A4D"/>
    <w:rsid w:val="00CE6670"/>
    <w:rsid w:val="00CE6ADD"/>
    <w:rsid w:val="00D07AA6"/>
    <w:rsid w:val="00D14C4C"/>
    <w:rsid w:val="00D167F5"/>
    <w:rsid w:val="00D22436"/>
    <w:rsid w:val="00D4679B"/>
    <w:rsid w:val="00D5456E"/>
    <w:rsid w:val="00D70106"/>
    <w:rsid w:val="00D7095C"/>
    <w:rsid w:val="00DC3B65"/>
    <w:rsid w:val="00DD146A"/>
    <w:rsid w:val="00DD6473"/>
    <w:rsid w:val="00DE7FA0"/>
    <w:rsid w:val="00E035DA"/>
    <w:rsid w:val="00E135E2"/>
    <w:rsid w:val="00E31A55"/>
    <w:rsid w:val="00E3266D"/>
    <w:rsid w:val="00E33E78"/>
    <w:rsid w:val="00E46176"/>
    <w:rsid w:val="00E50375"/>
    <w:rsid w:val="00E54438"/>
    <w:rsid w:val="00E5656A"/>
    <w:rsid w:val="00E7224A"/>
    <w:rsid w:val="00E73A3E"/>
    <w:rsid w:val="00E750A1"/>
    <w:rsid w:val="00E96402"/>
    <w:rsid w:val="00EA7942"/>
    <w:rsid w:val="00EA7B30"/>
    <w:rsid w:val="00ED3805"/>
    <w:rsid w:val="00EE3CE2"/>
    <w:rsid w:val="00EF5DF9"/>
    <w:rsid w:val="00EF6427"/>
    <w:rsid w:val="00F15FA6"/>
    <w:rsid w:val="00F46062"/>
    <w:rsid w:val="00F54BC7"/>
    <w:rsid w:val="00F60439"/>
    <w:rsid w:val="00F66C61"/>
    <w:rsid w:val="00F702E2"/>
    <w:rsid w:val="00F758BE"/>
    <w:rsid w:val="00F77BC5"/>
    <w:rsid w:val="00F77C7A"/>
    <w:rsid w:val="00F80484"/>
    <w:rsid w:val="00F822DB"/>
    <w:rsid w:val="00F84F70"/>
    <w:rsid w:val="00F92D48"/>
    <w:rsid w:val="00FA7085"/>
    <w:rsid w:val="00FD4889"/>
    <w:rsid w:val="00FE105F"/>
    <w:rsid w:val="00FE3D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44"/>
  </w:style>
  <w:style w:type="paragraph" w:styleId="Heading1">
    <w:name w:val="heading 1"/>
    <w:basedOn w:val="Normal"/>
    <w:next w:val="Normal"/>
    <w:link w:val="Heading1Char"/>
    <w:uiPriority w:val="9"/>
    <w:qFormat/>
    <w:rsid w:val="00B03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00C"/>
    <w:pPr>
      <w:ind w:left="720"/>
      <w:contextualSpacing/>
    </w:pPr>
  </w:style>
  <w:style w:type="character" w:styleId="Hyperlink">
    <w:name w:val="Hyperlink"/>
    <w:basedOn w:val="DefaultParagraphFont"/>
    <w:uiPriority w:val="99"/>
    <w:unhideWhenUsed/>
    <w:rsid w:val="00FA7085"/>
    <w:rPr>
      <w:color w:val="0000FF" w:themeColor="hyperlink"/>
      <w:u w:val="single"/>
    </w:rPr>
  </w:style>
  <w:style w:type="character" w:styleId="FollowedHyperlink">
    <w:name w:val="FollowedHyperlink"/>
    <w:basedOn w:val="DefaultParagraphFont"/>
    <w:uiPriority w:val="99"/>
    <w:semiHidden/>
    <w:unhideWhenUsed/>
    <w:rsid w:val="005A4D53"/>
    <w:rPr>
      <w:color w:val="800080" w:themeColor="followedHyperlink"/>
      <w:u w:val="single"/>
    </w:rPr>
  </w:style>
  <w:style w:type="character" w:customStyle="1" w:styleId="Heading1Char">
    <w:name w:val="Heading 1 Char"/>
    <w:basedOn w:val="DefaultParagraphFont"/>
    <w:link w:val="Heading1"/>
    <w:uiPriority w:val="9"/>
    <w:rsid w:val="00B035B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7116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54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96"/>
  </w:style>
  <w:style w:type="paragraph" w:styleId="Footer">
    <w:name w:val="footer"/>
    <w:basedOn w:val="Normal"/>
    <w:link w:val="FooterChar"/>
    <w:uiPriority w:val="99"/>
    <w:unhideWhenUsed/>
    <w:rsid w:val="0054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96"/>
  </w:style>
  <w:style w:type="paragraph" w:styleId="BalloonText">
    <w:name w:val="Balloon Text"/>
    <w:basedOn w:val="Normal"/>
    <w:link w:val="BalloonTextChar"/>
    <w:uiPriority w:val="99"/>
    <w:semiHidden/>
    <w:unhideWhenUsed/>
    <w:rsid w:val="00E3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78"/>
    <w:rPr>
      <w:rFonts w:ascii="Tahoma" w:hAnsi="Tahoma" w:cs="Tahoma"/>
      <w:sz w:val="16"/>
      <w:szCs w:val="16"/>
    </w:rPr>
  </w:style>
  <w:style w:type="character" w:customStyle="1" w:styleId="post-byline">
    <w:name w:val="post-byline"/>
    <w:basedOn w:val="DefaultParagraphFont"/>
    <w:rsid w:val="00B561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44"/>
  </w:style>
  <w:style w:type="paragraph" w:styleId="Heading1">
    <w:name w:val="heading 1"/>
    <w:basedOn w:val="Normal"/>
    <w:next w:val="Normal"/>
    <w:link w:val="Heading1Char"/>
    <w:uiPriority w:val="9"/>
    <w:qFormat/>
    <w:rsid w:val="00B03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00C"/>
    <w:pPr>
      <w:ind w:left="720"/>
      <w:contextualSpacing/>
    </w:pPr>
  </w:style>
  <w:style w:type="character" w:styleId="Hyperlink">
    <w:name w:val="Hyperlink"/>
    <w:basedOn w:val="DefaultParagraphFont"/>
    <w:uiPriority w:val="99"/>
    <w:unhideWhenUsed/>
    <w:rsid w:val="00FA7085"/>
    <w:rPr>
      <w:color w:val="0000FF" w:themeColor="hyperlink"/>
      <w:u w:val="single"/>
    </w:rPr>
  </w:style>
  <w:style w:type="character" w:styleId="FollowedHyperlink">
    <w:name w:val="FollowedHyperlink"/>
    <w:basedOn w:val="DefaultParagraphFont"/>
    <w:uiPriority w:val="99"/>
    <w:semiHidden/>
    <w:unhideWhenUsed/>
    <w:rsid w:val="005A4D53"/>
    <w:rPr>
      <w:color w:val="800080" w:themeColor="followedHyperlink"/>
      <w:u w:val="single"/>
    </w:rPr>
  </w:style>
  <w:style w:type="character" w:customStyle="1" w:styleId="Heading1Char">
    <w:name w:val="Heading 1 Char"/>
    <w:basedOn w:val="DefaultParagraphFont"/>
    <w:link w:val="Heading1"/>
    <w:uiPriority w:val="9"/>
    <w:rsid w:val="00B035B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7116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54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96"/>
  </w:style>
  <w:style w:type="paragraph" w:styleId="Footer">
    <w:name w:val="footer"/>
    <w:basedOn w:val="Normal"/>
    <w:link w:val="FooterChar"/>
    <w:uiPriority w:val="99"/>
    <w:unhideWhenUsed/>
    <w:rsid w:val="0054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96"/>
  </w:style>
  <w:style w:type="paragraph" w:styleId="BalloonText">
    <w:name w:val="Balloon Text"/>
    <w:basedOn w:val="Normal"/>
    <w:link w:val="BalloonTextChar"/>
    <w:uiPriority w:val="99"/>
    <w:semiHidden/>
    <w:unhideWhenUsed/>
    <w:rsid w:val="00E3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78"/>
    <w:rPr>
      <w:rFonts w:ascii="Tahoma" w:hAnsi="Tahoma" w:cs="Tahoma"/>
      <w:sz w:val="16"/>
      <w:szCs w:val="16"/>
    </w:rPr>
  </w:style>
  <w:style w:type="character" w:customStyle="1" w:styleId="post-byline">
    <w:name w:val="post-byline"/>
    <w:basedOn w:val="DefaultParagraphFont"/>
    <w:rsid w:val="00B5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059">
      <w:bodyDiv w:val="1"/>
      <w:marLeft w:val="0"/>
      <w:marRight w:val="0"/>
      <w:marTop w:val="0"/>
      <w:marBottom w:val="0"/>
      <w:divBdr>
        <w:top w:val="none" w:sz="0" w:space="0" w:color="auto"/>
        <w:left w:val="none" w:sz="0" w:space="0" w:color="auto"/>
        <w:bottom w:val="none" w:sz="0" w:space="0" w:color="auto"/>
        <w:right w:val="none" w:sz="0" w:space="0" w:color="auto"/>
      </w:divBdr>
      <w:divsChild>
        <w:div w:id="198470547">
          <w:marLeft w:val="0"/>
          <w:marRight w:val="0"/>
          <w:marTop w:val="0"/>
          <w:marBottom w:val="0"/>
          <w:divBdr>
            <w:top w:val="none" w:sz="0" w:space="0" w:color="auto"/>
            <w:left w:val="none" w:sz="0" w:space="0" w:color="auto"/>
            <w:bottom w:val="none" w:sz="0" w:space="0" w:color="auto"/>
            <w:right w:val="none" w:sz="0" w:space="0" w:color="auto"/>
          </w:divBdr>
        </w:div>
        <w:div w:id="239564028">
          <w:marLeft w:val="0"/>
          <w:marRight w:val="0"/>
          <w:marTop w:val="0"/>
          <w:marBottom w:val="0"/>
          <w:divBdr>
            <w:top w:val="none" w:sz="0" w:space="0" w:color="auto"/>
            <w:left w:val="none" w:sz="0" w:space="0" w:color="auto"/>
            <w:bottom w:val="none" w:sz="0" w:space="0" w:color="auto"/>
            <w:right w:val="none" w:sz="0" w:space="0" w:color="auto"/>
          </w:divBdr>
        </w:div>
        <w:div w:id="308436606">
          <w:marLeft w:val="0"/>
          <w:marRight w:val="0"/>
          <w:marTop w:val="0"/>
          <w:marBottom w:val="0"/>
          <w:divBdr>
            <w:top w:val="none" w:sz="0" w:space="0" w:color="auto"/>
            <w:left w:val="none" w:sz="0" w:space="0" w:color="auto"/>
            <w:bottom w:val="none" w:sz="0" w:space="0" w:color="auto"/>
            <w:right w:val="none" w:sz="0" w:space="0" w:color="auto"/>
          </w:divBdr>
        </w:div>
        <w:div w:id="331221141">
          <w:marLeft w:val="0"/>
          <w:marRight w:val="0"/>
          <w:marTop w:val="0"/>
          <w:marBottom w:val="0"/>
          <w:divBdr>
            <w:top w:val="none" w:sz="0" w:space="0" w:color="auto"/>
            <w:left w:val="none" w:sz="0" w:space="0" w:color="auto"/>
            <w:bottom w:val="none" w:sz="0" w:space="0" w:color="auto"/>
            <w:right w:val="none" w:sz="0" w:space="0" w:color="auto"/>
          </w:divBdr>
        </w:div>
        <w:div w:id="616331242">
          <w:marLeft w:val="0"/>
          <w:marRight w:val="0"/>
          <w:marTop w:val="0"/>
          <w:marBottom w:val="0"/>
          <w:divBdr>
            <w:top w:val="none" w:sz="0" w:space="0" w:color="auto"/>
            <w:left w:val="none" w:sz="0" w:space="0" w:color="auto"/>
            <w:bottom w:val="none" w:sz="0" w:space="0" w:color="auto"/>
            <w:right w:val="none" w:sz="0" w:space="0" w:color="auto"/>
          </w:divBdr>
        </w:div>
        <w:div w:id="619141863">
          <w:marLeft w:val="0"/>
          <w:marRight w:val="0"/>
          <w:marTop w:val="0"/>
          <w:marBottom w:val="0"/>
          <w:divBdr>
            <w:top w:val="none" w:sz="0" w:space="0" w:color="auto"/>
            <w:left w:val="none" w:sz="0" w:space="0" w:color="auto"/>
            <w:bottom w:val="none" w:sz="0" w:space="0" w:color="auto"/>
            <w:right w:val="none" w:sz="0" w:space="0" w:color="auto"/>
          </w:divBdr>
        </w:div>
        <w:div w:id="739598052">
          <w:marLeft w:val="0"/>
          <w:marRight w:val="0"/>
          <w:marTop w:val="0"/>
          <w:marBottom w:val="0"/>
          <w:divBdr>
            <w:top w:val="none" w:sz="0" w:space="0" w:color="auto"/>
            <w:left w:val="none" w:sz="0" w:space="0" w:color="auto"/>
            <w:bottom w:val="none" w:sz="0" w:space="0" w:color="auto"/>
            <w:right w:val="none" w:sz="0" w:space="0" w:color="auto"/>
          </w:divBdr>
        </w:div>
        <w:div w:id="882987356">
          <w:marLeft w:val="0"/>
          <w:marRight w:val="0"/>
          <w:marTop w:val="0"/>
          <w:marBottom w:val="0"/>
          <w:divBdr>
            <w:top w:val="none" w:sz="0" w:space="0" w:color="auto"/>
            <w:left w:val="none" w:sz="0" w:space="0" w:color="auto"/>
            <w:bottom w:val="none" w:sz="0" w:space="0" w:color="auto"/>
            <w:right w:val="none" w:sz="0" w:space="0" w:color="auto"/>
          </w:divBdr>
        </w:div>
        <w:div w:id="971788734">
          <w:marLeft w:val="0"/>
          <w:marRight w:val="0"/>
          <w:marTop w:val="0"/>
          <w:marBottom w:val="0"/>
          <w:divBdr>
            <w:top w:val="none" w:sz="0" w:space="0" w:color="auto"/>
            <w:left w:val="none" w:sz="0" w:space="0" w:color="auto"/>
            <w:bottom w:val="none" w:sz="0" w:space="0" w:color="auto"/>
            <w:right w:val="none" w:sz="0" w:space="0" w:color="auto"/>
          </w:divBdr>
        </w:div>
        <w:div w:id="983049563">
          <w:marLeft w:val="0"/>
          <w:marRight w:val="0"/>
          <w:marTop w:val="0"/>
          <w:marBottom w:val="0"/>
          <w:divBdr>
            <w:top w:val="none" w:sz="0" w:space="0" w:color="auto"/>
            <w:left w:val="none" w:sz="0" w:space="0" w:color="auto"/>
            <w:bottom w:val="none" w:sz="0" w:space="0" w:color="auto"/>
            <w:right w:val="none" w:sz="0" w:space="0" w:color="auto"/>
          </w:divBdr>
        </w:div>
        <w:div w:id="983971654">
          <w:marLeft w:val="0"/>
          <w:marRight w:val="0"/>
          <w:marTop w:val="0"/>
          <w:marBottom w:val="0"/>
          <w:divBdr>
            <w:top w:val="none" w:sz="0" w:space="0" w:color="auto"/>
            <w:left w:val="none" w:sz="0" w:space="0" w:color="auto"/>
            <w:bottom w:val="none" w:sz="0" w:space="0" w:color="auto"/>
            <w:right w:val="none" w:sz="0" w:space="0" w:color="auto"/>
          </w:divBdr>
        </w:div>
        <w:div w:id="1020165047">
          <w:marLeft w:val="0"/>
          <w:marRight w:val="0"/>
          <w:marTop w:val="0"/>
          <w:marBottom w:val="0"/>
          <w:divBdr>
            <w:top w:val="none" w:sz="0" w:space="0" w:color="auto"/>
            <w:left w:val="none" w:sz="0" w:space="0" w:color="auto"/>
            <w:bottom w:val="none" w:sz="0" w:space="0" w:color="auto"/>
            <w:right w:val="none" w:sz="0" w:space="0" w:color="auto"/>
          </w:divBdr>
        </w:div>
        <w:div w:id="1410075083">
          <w:marLeft w:val="0"/>
          <w:marRight w:val="0"/>
          <w:marTop w:val="0"/>
          <w:marBottom w:val="0"/>
          <w:divBdr>
            <w:top w:val="none" w:sz="0" w:space="0" w:color="auto"/>
            <w:left w:val="none" w:sz="0" w:space="0" w:color="auto"/>
            <w:bottom w:val="none" w:sz="0" w:space="0" w:color="auto"/>
            <w:right w:val="none" w:sz="0" w:space="0" w:color="auto"/>
          </w:divBdr>
        </w:div>
        <w:div w:id="1454518006">
          <w:marLeft w:val="0"/>
          <w:marRight w:val="0"/>
          <w:marTop w:val="0"/>
          <w:marBottom w:val="0"/>
          <w:divBdr>
            <w:top w:val="none" w:sz="0" w:space="0" w:color="auto"/>
            <w:left w:val="none" w:sz="0" w:space="0" w:color="auto"/>
            <w:bottom w:val="none" w:sz="0" w:space="0" w:color="auto"/>
            <w:right w:val="none" w:sz="0" w:space="0" w:color="auto"/>
          </w:divBdr>
        </w:div>
        <w:div w:id="1633169528">
          <w:marLeft w:val="0"/>
          <w:marRight w:val="0"/>
          <w:marTop w:val="0"/>
          <w:marBottom w:val="0"/>
          <w:divBdr>
            <w:top w:val="none" w:sz="0" w:space="0" w:color="auto"/>
            <w:left w:val="none" w:sz="0" w:space="0" w:color="auto"/>
            <w:bottom w:val="none" w:sz="0" w:space="0" w:color="auto"/>
            <w:right w:val="none" w:sz="0" w:space="0" w:color="auto"/>
          </w:divBdr>
        </w:div>
        <w:div w:id="1686253181">
          <w:marLeft w:val="0"/>
          <w:marRight w:val="0"/>
          <w:marTop w:val="0"/>
          <w:marBottom w:val="0"/>
          <w:divBdr>
            <w:top w:val="none" w:sz="0" w:space="0" w:color="auto"/>
            <w:left w:val="none" w:sz="0" w:space="0" w:color="auto"/>
            <w:bottom w:val="none" w:sz="0" w:space="0" w:color="auto"/>
            <w:right w:val="none" w:sz="0" w:space="0" w:color="auto"/>
          </w:divBdr>
        </w:div>
        <w:div w:id="1690985679">
          <w:marLeft w:val="0"/>
          <w:marRight w:val="0"/>
          <w:marTop w:val="0"/>
          <w:marBottom w:val="0"/>
          <w:divBdr>
            <w:top w:val="none" w:sz="0" w:space="0" w:color="auto"/>
            <w:left w:val="none" w:sz="0" w:space="0" w:color="auto"/>
            <w:bottom w:val="none" w:sz="0" w:space="0" w:color="auto"/>
            <w:right w:val="none" w:sz="0" w:space="0" w:color="auto"/>
          </w:divBdr>
        </w:div>
        <w:div w:id="2012369357">
          <w:marLeft w:val="0"/>
          <w:marRight w:val="0"/>
          <w:marTop w:val="0"/>
          <w:marBottom w:val="0"/>
          <w:divBdr>
            <w:top w:val="none" w:sz="0" w:space="0" w:color="auto"/>
            <w:left w:val="none" w:sz="0" w:space="0" w:color="auto"/>
            <w:bottom w:val="none" w:sz="0" w:space="0" w:color="auto"/>
            <w:right w:val="none" w:sz="0" w:space="0" w:color="auto"/>
          </w:divBdr>
        </w:div>
        <w:div w:id="2031909832">
          <w:marLeft w:val="0"/>
          <w:marRight w:val="0"/>
          <w:marTop w:val="0"/>
          <w:marBottom w:val="0"/>
          <w:divBdr>
            <w:top w:val="none" w:sz="0" w:space="0" w:color="auto"/>
            <w:left w:val="none" w:sz="0" w:space="0" w:color="auto"/>
            <w:bottom w:val="none" w:sz="0" w:space="0" w:color="auto"/>
            <w:right w:val="none" w:sz="0" w:space="0" w:color="auto"/>
          </w:divBdr>
        </w:div>
        <w:div w:id="2052877141">
          <w:marLeft w:val="0"/>
          <w:marRight w:val="0"/>
          <w:marTop w:val="0"/>
          <w:marBottom w:val="0"/>
          <w:divBdr>
            <w:top w:val="none" w:sz="0" w:space="0" w:color="auto"/>
            <w:left w:val="none" w:sz="0" w:space="0" w:color="auto"/>
            <w:bottom w:val="none" w:sz="0" w:space="0" w:color="auto"/>
            <w:right w:val="none" w:sz="0" w:space="0" w:color="auto"/>
          </w:divBdr>
        </w:div>
      </w:divsChild>
    </w:div>
    <w:div w:id="934636386">
      <w:bodyDiv w:val="1"/>
      <w:marLeft w:val="0"/>
      <w:marRight w:val="0"/>
      <w:marTop w:val="0"/>
      <w:marBottom w:val="0"/>
      <w:divBdr>
        <w:top w:val="none" w:sz="0" w:space="0" w:color="auto"/>
        <w:left w:val="none" w:sz="0" w:space="0" w:color="auto"/>
        <w:bottom w:val="none" w:sz="0" w:space="0" w:color="auto"/>
        <w:right w:val="none" w:sz="0" w:space="0" w:color="auto"/>
      </w:divBdr>
      <w:divsChild>
        <w:div w:id="411128751">
          <w:marLeft w:val="0"/>
          <w:marRight w:val="0"/>
          <w:marTop w:val="0"/>
          <w:marBottom w:val="0"/>
          <w:divBdr>
            <w:top w:val="none" w:sz="0" w:space="0" w:color="auto"/>
            <w:left w:val="none" w:sz="0" w:space="0" w:color="auto"/>
            <w:bottom w:val="none" w:sz="0" w:space="0" w:color="auto"/>
            <w:right w:val="none" w:sz="0" w:space="0" w:color="auto"/>
          </w:divBdr>
        </w:div>
        <w:div w:id="788086173">
          <w:marLeft w:val="0"/>
          <w:marRight w:val="0"/>
          <w:marTop w:val="0"/>
          <w:marBottom w:val="0"/>
          <w:divBdr>
            <w:top w:val="none" w:sz="0" w:space="0" w:color="auto"/>
            <w:left w:val="none" w:sz="0" w:space="0" w:color="auto"/>
            <w:bottom w:val="none" w:sz="0" w:space="0" w:color="auto"/>
            <w:right w:val="none" w:sz="0" w:space="0" w:color="auto"/>
          </w:divBdr>
        </w:div>
        <w:div w:id="1440947192">
          <w:marLeft w:val="0"/>
          <w:marRight w:val="0"/>
          <w:marTop w:val="0"/>
          <w:marBottom w:val="0"/>
          <w:divBdr>
            <w:top w:val="none" w:sz="0" w:space="0" w:color="auto"/>
            <w:left w:val="none" w:sz="0" w:space="0" w:color="auto"/>
            <w:bottom w:val="none" w:sz="0" w:space="0" w:color="auto"/>
            <w:right w:val="none" w:sz="0" w:space="0" w:color="auto"/>
          </w:divBdr>
        </w:div>
        <w:div w:id="1987858172">
          <w:marLeft w:val="0"/>
          <w:marRight w:val="0"/>
          <w:marTop w:val="0"/>
          <w:marBottom w:val="0"/>
          <w:divBdr>
            <w:top w:val="none" w:sz="0" w:space="0" w:color="auto"/>
            <w:left w:val="none" w:sz="0" w:space="0" w:color="auto"/>
            <w:bottom w:val="none" w:sz="0" w:space="0" w:color="auto"/>
            <w:right w:val="none" w:sz="0" w:space="0" w:color="auto"/>
          </w:divBdr>
        </w:div>
        <w:div w:id="200319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ensionsbc.ca/portal/page/portal/pencorpcontent/pspppage/publications/annualreports/pspp_ar_2015_print_friendly.pdf"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apsa-acor.org/en/init/governance_guidelines/Guideline_Self-asses_Questionnaire.pdf" TargetMode="External"/><Relationship Id="rId11" Type="http://schemas.openxmlformats.org/officeDocument/2006/relationships/hyperlink" Target="http://cdpq.com/en/about-us/clients/depositors" TargetMode="External"/><Relationship Id="rId12" Type="http://schemas.openxmlformats.org/officeDocument/2006/relationships/hyperlink" Target="http://www.benefitscanada.com/pensions/governance-law/raising-the-bar-on-pension-plan-governance-76607" TargetMode="External"/><Relationship Id="rId13" Type="http://schemas.openxmlformats.org/officeDocument/2006/relationships/hyperlink" Target="http://www.benefitscanada.com/news/sounding-board-canada-leads-in-pension-systems-for-public-sector-workers-82441" TargetMode="External"/><Relationship Id="rId14" Type="http://schemas.openxmlformats.org/officeDocument/2006/relationships/hyperlink" Target="http://www.benefitscanada.com/human-resources/legislation/new-brunswicks-shared-risk-conversion-faces-a-flurry-of-legal-attacks-89880" TargetMode="External"/><Relationship Id="rId15" Type="http://schemas.openxmlformats.org/officeDocument/2006/relationships/hyperlink" Target="http://www.statcan.gc.ca/pub/75-001-x/10104/6757-eng.htm" TargetMode="External"/><Relationship Id="rId16" Type="http://schemas.openxmlformats.org/officeDocument/2006/relationships/hyperlink" Target="http://www.statcan.gc.ca/tables-tableaux/sum-som/l01/cst01/famil120a-eng.htm" TargetMode="External"/><Relationship Id="rId17" Type="http://schemas.openxmlformats.org/officeDocument/2006/relationships/hyperlink" Target="http://www.osler.com/ourpeople/Profile.aspx?id=6134" TargetMode="External"/><Relationship Id="rId18" Type="http://schemas.openxmlformats.org/officeDocument/2006/relationships/hyperlink" Target="https://www.osler.com/en/blogs/pensions/november-2014/myth-1-target-benefits-are-a-new-untested-conc" TargetMode="External"/><Relationship Id="rId19" Type="http://schemas.openxmlformats.org/officeDocument/2006/relationships/hyperlink" Target="https://www.osler.com/uploadedFiles/Commentary_41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75B1C19-A77B-A04A-9463-DE9DA56E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2544</Words>
  <Characters>14506</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mowbjohn</dc:creator>
  <cp:lastModifiedBy>Randall Dove</cp:lastModifiedBy>
  <cp:revision>2</cp:revision>
  <cp:lastPrinted>2017-03-08T15:57:00Z</cp:lastPrinted>
  <dcterms:created xsi:type="dcterms:W3CDTF">2017-03-08T15:57:00Z</dcterms:created>
  <dcterms:modified xsi:type="dcterms:W3CDTF">2017-03-08T15:57:00Z</dcterms:modified>
</cp:coreProperties>
</file>